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240" w:after="60"/>
        <w:ind w:left="0" w:right="0" w:hanging="0"/>
        <w:jc w:val="left"/>
        <w:rPr>
          <w:bdr w:val="single" w:sz="16" w:space="1" w:color="000000"/>
        </w:rPr>
      </w:pPr>
      <w:bookmarkStart w:id="0" w:name="tm2623654d1_8k.htm"/>
      <w:bookmarkStart w:id="1" w:name="kstm2623654d1_8k"/>
      <w:bookmarkEnd w:id="0"/>
      <w:bookmarkEnd w:id="1"/>
      <w:r>
        <w:rPr>
          <w:bdr w:val="single" w:sz="16" w:space="1"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8"/>
        </w:rPr>
        <w:t>UNITED STATES</w:t>
        <w:br/>
        <w:t>SECURITIES AND EXCHANGE COMMISSION</w:t>
      </w:r>
      <w:r>
        <w:rPr>
          <w:rFonts w:ascii="Times New Roman;Times;Serif" w:hAnsi="Times New Roman;Times;Serif"/>
          <w:b w:val="false"/>
          <w:i w:val="false"/>
          <w:caps w:val="false"/>
          <w:smallCaps w:val="false"/>
          <w:sz w:val="20"/>
        </w:rPr>
        <w:t> </w:t>
        <w:br/>
      </w: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36"/>
        </w:rPr>
        <w:t xml:space="preserve">FORM </w:t>
      </w:r>
      <w:bookmarkStart w:id="2" w:name="xdx_90A_edei--DocumentType_c20260820__20"/>
      <w:bookmarkEnd w:id="2"/>
      <w:r>
        <w:rPr>
          <w:rFonts w:ascii="Times New Roman;Times;Serif" w:hAnsi="Times New Roman;Times;Serif"/>
          <w:b/>
          <w:i w:val="false"/>
          <w:caps w:val="false"/>
          <w:smallCaps w:val="false"/>
          <w:sz w:val="36"/>
        </w:rPr>
        <w:t>8-K</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w:t>
        <w:br/>
        <w:t>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 w:name="xdx_906_edei--DocumentPeriodEndDate_c202"/>
      <w:bookmarkEnd w:id="3"/>
      <w:r>
        <w:rPr>
          <w:rFonts w:ascii="Times New Roman;Times;Serif" w:hAnsi="Times New Roman;Times;Serif"/>
          <w:b/>
          <w:i w:val="false"/>
          <w:caps w:val="false"/>
          <w:smallCaps w:val="false"/>
          <w:sz w:val="20"/>
        </w:rPr>
        <w:t>August 20, 2026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 of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 of earliest event reported)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4" w:name="xdx_900_edei--EntityRegistrantName_dxL_c"/>
      <w:bookmarkEnd w:id="4"/>
      <w:r>
        <w:rPr>
          <w:rFonts w:ascii="Times New Roman;Times;Serif" w:hAnsi="Times New Roman;Times;Serif"/>
          <w:b/>
          <w:i w:val="false"/>
          <w:caps w:val="false"/>
          <w:smallCaps w:val="false"/>
          <w:sz w:val="36"/>
        </w:rPr>
        <w:t>Jefferson Capital,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7545" w:type="dxa"/>
        <w:jc w:val="left"/>
        <w:tblInd w:w="0" w:type="dxa"/>
        <w:tblLayout w:type="fixed"/>
        <w:tblCellMar>
          <w:top w:w="0" w:type="dxa"/>
          <w:left w:w="0" w:type="dxa"/>
          <w:bottom w:w="0" w:type="dxa"/>
          <w:right w:w="0" w:type="dxa"/>
        </w:tblCellMar>
      </w:tblPr>
      <w:tblGrid>
        <w:gridCol w:w="2375"/>
        <w:gridCol w:w="3635"/>
        <w:gridCol w:w="1535"/>
      </w:tblGrid>
      <w:tr>
        <w:trPr/>
        <w:tc>
          <w:tcPr>
            <w:tcW w:w="2375" w:type="dxa"/>
            <w:tcBorders/>
            <w:vAlign w:val="center"/>
          </w:tcPr>
          <w:p>
            <w:pPr>
              <w:pStyle w:val="TableContents"/>
              <w:bidi w:val="0"/>
              <w:spacing w:before="0" w:after="0"/>
              <w:ind w:left="0" w:right="0" w:hanging="0"/>
              <w:jc w:val="center"/>
              <w:rPr>
                <w:rFonts w:ascii="Times New Roman;Times;Serif" w:hAnsi="Times New Roman;Times;Serif"/>
                <w:b/>
                <w:i w:val="false"/>
                <w:caps/>
                <w:sz w:val="20"/>
              </w:rPr>
            </w:pPr>
            <w:bookmarkStart w:id="5" w:name="xdx_906_edei--EntityIncorporationStateCo"/>
            <w:bookmarkEnd w:id="5"/>
            <w:r>
              <w:rPr>
                <w:rFonts w:ascii="Times New Roman;Times;Serif" w:hAnsi="Times New Roman;Times;Serif"/>
                <w:b/>
                <w:i w:val="false"/>
                <w:caps/>
                <w:sz w:val="20"/>
              </w:rPr>
              <w:t>Delaware</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 of</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incorporation)</w:t>
            </w:r>
          </w:p>
          <w:p>
            <w:pPr>
              <w:pStyle w:val="TableContents"/>
              <w:bidi w:val="0"/>
              <w:spacing w:before="0" w:after="0"/>
              <w:ind w:left="0" w:right="0" w:hanging="0"/>
              <w:jc w:val="center"/>
              <w:rPr>
                <w:caps w:val="false"/>
                <w:smallCaps w:val="false"/>
              </w:rPr>
            </w:pPr>
            <w:r>
              <w:rPr>
                <w:caps w:val="false"/>
                <w:smallCaps w:val="false"/>
              </w:rPr>
              <w:t> </w:t>
            </w:r>
          </w:p>
        </w:tc>
        <w:tc>
          <w:tcPr>
            <w:tcW w:w="363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6" w:name="xdx_904_edei--EntityFileNumber_c20260820"/>
            <w:bookmarkEnd w:id="6"/>
            <w:r>
              <w:rPr>
                <w:rFonts w:ascii="Times New Roman;Times;Serif" w:hAnsi="Times New Roman;Times;Serif"/>
                <w:b/>
                <w:i w:val="false"/>
                <w:caps w:val="false"/>
                <w:smallCaps w:val="false"/>
                <w:sz w:val="20"/>
              </w:rPr>
              <w:t>001-42718</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 File Number)</w:t>
            </w:r>
          </w:p>
        </w:tc>
        <w:tc>
          <w:tcPr>
            <w:tcW w:w="153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7" w:name="xdx_901_edei--EntityTaxIdentificationNum"/>
            <w:bookmarkEnd w:id="7"/>
            <w:r>
              <w:rPr>
                <w:rFonts w:ascii="Times New Roman;Times;Serif" w:hAnsi="Times New Roman;Times;Serif"/>
                <w:b/>
                <w:i w:val="false"/>
                <w:caps w:val="false"/>
                <w:smallCaps w:val="false"/>
                <w:sz w:val="20"/>
              </w:rPr>
              <w:t>33-1923926</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No.)</w:t>
            </w:r>
          </w:p>
        </w:tc>
      </w:tr>
      <w:tr>
        <w:trPr/>
        <w:tc>
          <w:tcPr>
            <w:tcW w:w="2375" w:type="dxa"/>
            <w:tcBorders/>
            <w:vAlign w:val="center"/>
          </w:tcPr>
          <w:p>
            <w:pPr>
              <w:pStyle w:val="TableContents"/>
              <w:bidi w:val="0"/>
              <w:spacing w:before="0" w:after="283"/>
              <w:jc w:val="center"/>
              <w:rPr/>
            </w:pPr>
            <w:r>
              <w:rPr/>
              <w:t> </w:t>
            </w:r>
          </w:p>
        </w:tc>
        <w:tc>
          <w:tcPr>
            <w:tcW w:w="363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8" w:name="xdx_90B_edei--EntityAddressAddressLine1_"/>
            <w:bookmarkEnd w:id="8"/>
            <w:r>
              <w:rPr>
                <w:rFonts w:ascii="Times New Roman;Times;Serif" w:hAnsi="Times New Roman;Times;Serif"/>
                <w:b/>
                <w:i w:val="false"/>
                <w:caps w:val="false"/>
                <w:smallCaps w:val="false"/>
                <w:sz w:val="20"/>
              </w:rPr>
              <w:t xml:space="preserve">600 SOUTH HIGHWAY 169, </w:t>
            </w:r>
            <w:bookmarkStart w:id="9" w:name="xdx_904_edei--EntityAddressAddressLine2_"/>
            <w:bookmarkEnd w:id="9"/>
            <w:r>
              <w:rPr>
                <w:rFonts w:ascii="Times New Roman;Times;Serif" w:hAnsi="Times New Roman;Times;Serif"/>
                <w:b/>
                <w:i w:val="false"/>
                <w:caps w:val="false"/>
                <w:smallCaps w:val="false"/>
                <w:sz w:val="20"/>
              </w:rPr>
              <w:t>SUITE 1575,</w:t>
            </w:r>
          </w:p>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10" w:name="xdx_902_edei--EntityAddressCityOrTown_c2"/>
            <w:bookmarkEnd w:id="10"/>
            <w:r>
              <w:rPr>
                <w:rFonts w:ascii="Times New Roman;Times;Serif" w:hAnsi="Times New Roman;Times;Serif"/>
                <w:b/>
                <w:i w:val="false"/>
                <w:caps w:val="false"/>
                <w:smallCaps w:val="false"/>
                <w:sz w:val="20"/>
              </w:rPr>
              <w:t xml:space="preserve">MINNEAPOLIS, </w:t>
            </w:r>
            <w:bookmarkStart w:id="11" w:name="xdx_904_edei--EntityAddressStateOrProvin"/>
            <w:bookmarkEnd w:id="11"/>
            <w:r>
              <w:rPr>
                <w:rFonts w:ascii="Times New Roman;Times;Serif" w:hAnsi="Times New Roman;Times;Serif"/>
                <w:b/>
                <w:i w:val="false"/>
                <w:caps/>
                <w:sz w:val="20"/>
              </w:rPr>
              <w:t>Minnesota</w:t>
            </w:r>
            <w:r>
              <w:rPr>
                <w:rFonts w:ascii="Times New Roman;Times;Serif" w:hAnsi="Times New Roman;Times;Serif"/>
                <w:b/>
                <w:i w:val="false"/>
                <w:caps w:val="false"/>
                <w:smallCaps w:val="false"/>
                <w:sz w:val="20"/>
              </w:rPr>
              <w:t xml:space="preserve"> 55426</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tc>
        <w:tc>
          <w:tcPr>
            <w:tcW w:w="153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12" w:name="xdx_902_edei--EntityAddressPostalZipCode"/>
            <w:bookmarkEnd w:id="12"/>
            <w:r>
              <w:rPr>
                <w:rFonts w:ascii="Times New Roman;Times;Serif" w:hAnsi="Times New Roman;Times;Serif"/>
                <w:b/>
                <w:i w:val="false"/>
                <w:caps w:val="false"/>
                <w:smallCaps w:val="false"/>
                <w:sz w:val="20"/>
              </w:rPr>
              <w:t>55426</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(Zip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6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r>
        <w:rPr>
          <w:rFonts w:ascii="Times New Roman;Times;Serif" w:hAnsi="Times New Roman;Times;Serif"/>
          <w:b/>
          <w:i w:val="false"/>
          <w:caps w:val="false"/>
          <w:smallCaps w:val="false"/>
          <w:sz w:val="20"/>
        </w:rPr>
        <w:t>(</w:t>
      </w:r>
      <w:bookmarkStart w:id="13" w:name="xdx_904_edei--CityAreaCode_c20260820__20"/>
      <w:bookmarkEnd w:id="13"/>
      <w:r>
        <w:rPr>
          <w:rFonts w:ascii="Times New Roman;Times;Serif" w:hAnsi="Times New Roman;Times;Serif"/>
          <w:b/>
          <w:i w:val="false"/>
          <w:caps w:val="false"/>
          <w:smallCaps w:val="false"/>
          <w:sz w:val="20"/>
        </w:rPr>
        <w:t xml:space="preserve">320) </w:t>
      </w:r>
      <w:bookmarkStart w:id="14" w:name="xdx_908_edei--LocalPhoneNumber_c20260820"/>
      <w:bookmarkEnd w:id="14"/>
      <w:r>
        <w:rPr>
          <w:rFonts w:ascii="Times New Roman;Times;Serif" w:hAnsi="Times New Roman;Times;Serif"/>
          <w:b/>
          <w:i w:val="false"/>
          <w:caps w:val="false"/>
          <w:smallCaps w:val="false"/>
          <w:sz w:val="20"/>
        </w:rPr>
        <w:t>229-8505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Not Applicable</w:t>
        <w:br/>
      </w: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8793" w:type="dxa"/>
        <w:jc w:val="left"/>
        <w:tblInd w:w="0" w:type="dxa"/>
        <w:tblLayout w:type="fixed"/>
        <w:tblCellMar>
          <w:top w:w="0" w:type="dxa"/>
          <w:left w:w="0" w:type="dxa"/>
          <w:bottom w:w="0" w:type="dxa"/>
          <w:right w:w="0" w:type="dxa"/>
        </w:tblCellMar>
      </w:tblPr>
      <w:tblGrid>
        <w:gridCol w:w="38"/>
        <w:gridCol w:w="230"/>
        <w:gridCol w:w="852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5" w:name="xdx_909_edei--WrittenCommunications_c202"/>
            <w:bookmarkEnd w:id="15"/>
            <w:r>
              <w:rPr/>
              <w:t>☐</w:t>
            </w:r>
          </w:p>
        </w:tc>
        <w:tc>
          <w:tcPr>
            <w:tcW w:w="8525" w:type="dxa"/>
            <w:tcBorders/>
            <w:vAlign w:val="center"/>
          </w:tcPr>
          <w:p>
            <w:pPr>
              <w:pStyle w:val="TableContents"/>
              <w:bidi w:val="0"/>
              <w:spacing w:before="0" w:after="283"/>
              <w:jc w:val="both"/>
              <w:rPr/>
            </w:pPr>
            <w:r>
              <w:rPr/>
              <w:t>Written communications pursuant to Rule 425 under the Securities Act (17 CFR 230.425)</w:t>
            </w:r>
          </w:p>
        </w:tc>
      </w:tr>
    </w:tbl>
    <w:p>
      <w:pPr>
        <w:pStyle w:val="TextBody"/>
        <w:bidi w:val="0"/>
        <w:spacing w:before="0" w:after="0"/>
        <w:ind w:left="0" w:right="0" w:hanging="0"/>
        <w:jc w:val="left"/>
        <w:rPr>
          <w:caps w:val="false"/>
          <w:smallCaps w:val="false"/>
        </w:rPr>
      </w:pPr>
      <w:r>
        <w:rPr>
          <w:caps w:val="false"/>
          <w:smallCaps w:val="false"/>
        </w:rPr>
        <w:t> </w:t>
      </w:r>
    </w:p>
    <w:tbl>
      <w:tblPr>
        <w:tblW w:w="8823" w:type="dxa"/>
        <w:jc w:val="left"/>
        <w:tblInd w:w="0" w:type="dxa"/>
        <w:tblLayout w:type="fixed"/>
        <w:tblCellMar>
          <w:top w:w="0" w:type="dxa"/>
          <w:left w:w="0" w:type="dxa"/>
          <w:bottom w:w="0" w:type="dxa"/>
          <w:right w:w="0" w:type="dxa"/>
        </w:tblCellMar>
      </w:tblPr>
      <w:tblGrid>
        <w:gridCol w:w="38"/>
        <w:gridCol w:w="230"/>
        <w:gridCol w:w="855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6" w:name="xdx_908_edei--SolicitingMaterial_c202608"/>
            <w:bookmarkEnd w:id="16"/>
            <w:r>
              <w:rPr/>
              <w:t>☐</w:t>
            </w:r>
          </w:p>
        </w:tc>
        <w:tc>
          <w:tcPr>
            <w:tcW w:w="8555" w:type="dxa"/>
            <w:tcBorders/>
            <w:vAlign w:val="center"/>
          </w:tcPr>
          <w:p>
            <w:pPr>
              <w:pStyle w:val="TableContents"/>
              <w:bidi w:val="0"/>
              <w:spacing w:before="0" w:after="283"/>
              <w:jc w:val="both"/>
              <w:rPr/>
            </w:pPr>
            <w:r>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7" w:name="xdx_90D_edei--PreCommencementTenderOffer"/>
            <w:bookmarkEnd w:id="17"/>
            <w:r>
              <w:rPr/>
              <w:t>☐</w:t>
            </w:r>
          </w:p>
        </w:tc>
        <w:tc>
          <w:tcPr>
            <w:tcW w:w="9937" w:type="dxa"/>
            <w:tcBorders/>
            <w:vAlign w:val="center"/>
          </w:tcPr>
          <w:p>
            <w:pPr>
              <w:pStyle w:val="TableContents"/>
              <w:bidi w:val="0"/>
              <w:spacing w:before="0" w:after="283"/>
              <w:jc w:val="both"/>
              <w:rPr/>
            </w:pPr>
            <w:r>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8" w:name="xdx_90A_edei--PreCommencementIssuerTende"/>
            <w:bookmarkEnd w:id="18"/>
            <w:r>
              <w:rPr/>
              <w:t>☐</w:t>
            </w:r>
          </w:p>
        </w:tc>
        <w:tc>
          <w:tcPr>
            <w:tcW w:w="9937" w:type="dxa"/>
            <w:tcBorders/>
            <w:vAlign w:val="center"/>
          </w:tcPr>
          <w:p>
            <w:pPr>
              <w:pStyle w:val="TableContents"/>
              <w:bidi w:val="0"/>
              <w:spacing w:before="0" w:after="283"/>
              <w:jc w:val="both"/>
              <w:rPr/>
            </w:pPr>
            <w:r>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tbl>
      <w:tblPr>
        <w:tblW w:w="9110" w:type="dxa"/>
        <w:jc w:val="left"/>
        <w:tblInd w:w="0" w:type="dxa"/>
        <w:tblLayout w:type="fixed"/>
        <w:tblCellMar>
          <w:top w:w="0" w:type="dxa"/>
          <w:left w:w="0" w:type="dxa"/>
          <w:bottom w:w="0" w:type="dxa"/>
          <w:right w:w="0" w:type="dxa"/>
        </w:tblCellMar>
      </w:tblPr>
      <w:tblGrid>
        <w:gridCol w:w="3590"/>
        <w:gridCol w:w="185"/>
        <w:gridCol w:w="1460"/>
        <w:gridCol w:w="60"/>
        <w:gridCol w:w="3815"/>
      </w:tblGrid>
      <w:tr>
        <w:trPr/>
        <w:tc>
          <w:tcPr>
            <w:tcW w:w="359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14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15" w:type="dxa"/>
            <w:tcBorders/>
            <w:vAlign w:val="center"/>
          </w:tcPr>
          <w:p>
            <w:pPr>
              <w:pStyle w:val="TableContents"/>
              <w:bidi w:val="0"/>
              <w:spacing w:before="0" w:after="283"/>
              <w:jc w:val="left"/>
              <w:rPr/>
            </w:pPr>
            <w:r>
              <w:rPr/>
              <w:t> </w:t>
            </w:r>
          </w:p>
        </w:tc>
      </w:tr>
      <w:tr>
        <w:trPr/>
        <w:tc>
          <w:tcPr>
            <w:tcW w:w="3590" w:type="dxa"/>
            <w:tcBorders>
              <w:bottom w:val="single" w:sz="8" w:space="0" w:color="000000"/>
            </w:tcBorders>
            <w:tcMar>
              <w:bottom w:w="28" w:type="dxa"/>
            </w:tcMar>
            <w:vAlign w:val="center"/>
          </w:tcPr>
          <w:p>
            <w:pPr>
              <w:pStyle w:val="TableContents"/>
              <w:pBdr/>
              <w:bidi w:val="0"/>
              <w:spacing w:before="0" w:after="0"/>
              <w:ind w:left="135" w:right="0" w:hanging="135"/>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Title of each class:</w:t>
            </w:r>
            <w:r>
              <w:rPr>
                <w:rFonts w:ascii="Times New Roman;Times;Serif" w:hAnsi="Times New Roman;Times;Serif"/>
                <w:b w:val="false"/>
                <w:i w:val="false"/>
                <w:caps w:val="false"/>
                <w:smallCaps w:val="false"/>
                <w:sz w:val="20"/>
              </w:rPr>
              <w:t> </w:t>
            </w:r>
          </w:p>
        </w:tc>
        <w:tc>
          <w:tcPr>
            <w:tcW w:w="185" w:type="dxa"/>
            <w:tcBorders/>
            <w:vAlign w:val="center"/>
          </w:tcPr>
          <w:p>
            <w:pPr>
              <w:pStyle w:val="TableContents"/>
              <w:bidi w:val="0"/>
              <w:spacing w:before="0" w:after="283"/>
              <w:jc w:val="center"/>
              <w:rPr/>
            </w:pPr>
            <w:r>
              <w:rPr/>
              <w:t>   </w:t>
            </w:r>
          </w:p>
        </w:tc>
        <w:tc>
          <w:tcPr>
            <w:tcW w:w="1460" w:type="dxa"/>
            <w:tcBorders>
              <w:bottom w:val="single" w:sz="8" w:space="0" w:color="000000"/>
            </w:tcBorders>
            <w:tcMar>
              <w:bottom w:w="28" w:type="dxa"/>
            </w:tcMar>
            <w:vAlign w:val="center"/>
          </w:tcPr>
          <w:p>
            <w:pPr>
              <w:pStyle w:val="TableContents"/>
              <w:bidi w:val="0"/>
              <w:spacing w:before="0" w:after="283"/>
              <w:jc w:val="center"/>
              <w:rPr>
                <w:sz w:val="20"/>
              </w:rPr>
            </w:pPr>
            <w:r>
              <w:rPr>
                <w:b/>
                <w:sz w:val="20"/>
              </w:rPr>
              <w:t>Trading Symbol</w:t>
            </w:r>
            <w:r>
              <w:rPr>
                <w:sz w:val="20"/>
              </w:rPr>
              <w:t> </w:t>
            </w:r>
          </w:p>
        </w:tc>
        <w:tc>
          <w:tcPr>
            <w:tcW w:w="60" w:type="dxa"/>
            <w:tcBorders/>
            <w:vAlign w:val="center"/>
          </w:tcPr>
          <w:p>
            <w:pPr>
              <w:pStyle w:val="TableContents"/>
              <w:bidi w:val="0"/>
              <w:spacing w:before="0" w:after="283"/>
              <w:jc w:val="center"/>
              <w:rPr/>
            </w:pPr>
            <w:r>
              <w:rPr/>
              <w:t> </w:t>
            </w:r>
          </w:p>
        </w:tc>
        <w:tc>
          <w:tcPr>
            <w:tcW w:w="3815" w:type="dxa"/>
            <w:tcBorders>
              <w:bottom w:val="single" w:sz="8" w:space="0" w:color="000000"/>
            </w:tcBorders>
            <w:tcMar>
              <w:bottom w:w="28" w:type="dxa"/>
            </w:tcMar>
            <w:vAlign w:val="center"/>
          </w:tcPr>
          <w:p>
            <w:pPr>
              <w:pStyle w:val="TableContents"/>
              <w:bidi w:val="0"/>
              <w:spacing w:before="0" w:after="283"/>
              <w:jc w:val="center"/>
              <w:rPr>
                <w:sz w:val="20"/>
              </w:rPr>
            </w:pPr>
            <w:r>
              <w:rPr>
                <w:b/>
                <w:sz w:val="20"/>
              </w:rPr>
              <w:t>Name of each exchange on which registered:</w:t>
            </w:r>
            <w:r>
              <w:rPr>
                <w:sz w:val="20"/>
              </w:rPr>
              <w:t> </w:t>
            </w:r>
          </w:p>
        </w:tc>
      </w:tr>
      <w:tr>
        <w:trPr/>
        <w:tc>
          <w:tcPr>
            <w:tcW w:w="3590" w:type="dxa"/>
            <w:tcBorders/>
            <w:vAlign w:val="center"/>
          </w:tcPr>
          <w:p>
            <w:pPr>
              <w:pStyle w:val="TableContents"/>
              <w:pBdr/>
              <w:bidi w:val="0"/>
              <w:spacing w:before="0" w:after="0"/>
              <w:ind w:left="135" w:right="0" w:hanging="135"/>
              <w:jc w:val="center"/>
              <w:rPr>
                <w:rFonts w:ascii="Times New Roman;Times;Serif" w:hAnsi="Times New Roman;Times;Serif"/>
                <w:b w:val="false"/>
                <w:i w:val="false"/>
                <w:caps w:val="false"/>
                <w:smallCaps w:val="false"/>
                <w:sz w:val="20"/>
              </w:rPr>
            </w:pPr>
            <w:bookmarkStart w:id="19" w:name="xdx_907_edei--Security12bTitle_c20260820"/>
            <w:bookmarkEnd w:id="19"/>
            <w:r>
              <w:rPr>
                <w:rFonts w:ascii="Times New Roman;Times;Serif" w:hAnsi="Times New Roman;Times;Serif"/>
                <w:b w:val="false"/>
                <w:i w:val="false"/>
                <w:caps w:val="false"/>
                <w:smallCaps w:val="false"/>
                <w:sz w:val="20"/>
              </w:rPr>
              <w:t>Common stock, $0.0001 par value per share</w:t>
            </w:r>
          </w:p>
        </w:tc>
        <w:tc>
          <w:tcPr>
            <w:tcW w:w="185" w:type="dxa"/>
            <w:tcBorders/>
            <w:vAlign w:val="center"/>
          </w:tcPr>
          <w:p>
            <w:pPr>
              <w:pStyle w:val="TableContents"/>
              <w:bidi w:val="0"/>
              <w:spacing w:before="0" w:after="283"/>
              <w:jc w:val="left"/>
              <w:rPr/>
            </w:pPr>
            <w:r>
              <w:rPr/>
              <w:t> </w:t>
            </w:r>
          </w:p>
        </w:tc>
        <w:tc>
          <w:tcPr>
            <w:tcW w:w="1460" w:type="dxa"/>
            <w:tcBorders/>
            <w:vAlign w:val="center"/>
          </w:tcPr>
          <w:p>
            <w:pPr>
              <w:pStyle w:val="TableContents"/>
              <w:bidi w:val="0"/>
              <w:spacing w:before="0" w:after="283"/>
              <w:jc w:val="center"/>
              <w:rPr>
                <w:sz w:val="20"/>
              </w:rPr>
            </w:pPr>
            <w:bookmarkStart w:id="20" w:name="xdx_90B_edei--TradingSymbol_c20260820__2"/>
            <w:bookmarkEnd w:id="20"/>
            <w:r>
              <w:rPr>
                <w:sz w:val="20"/>
              </w:rPr>
              <w:t>JCAP</w:t>
            </w:r>
          </w:p>
        </w:tc>
        <w:tc>
          <w:tcPr>
            <w:tcW w:w="60" w:type="dxa"/>
            <w:tcBorders/>
            <w:vAlign w:val="center"/>
          </w:tcPr>
          <w:p>
            <w:pPr>
              <w:pStyle w:val="TableContents"/>
              <w:bidi w:val="0"/>
              <w:spacing w:before="0" w:after="283"/>
              <w:jc w:val="left"/>
              <w:rPr/>
            </w:pPr>
            <w:r>
              <w:rPr/>
              <w:t> </w:t>
            </w:r>
          </w:p>
        </w:tc>
        <w:tc>
          <w:tcPr>
            <w:tcW w:w="3815" w:type="dxa"/>
            <w:tcBorders/>
            <w:vAlign w:val="center"/>
          </w:tcPr>
          <w:p>
            <w:pPr>
              <w:pStyle w:val="TableContents"/>
              <w:bidi w:val="0"/>
              <w:spacing w:before="0" w:after="283"/>
              <w:jc w:val="center"/>
              <w:rPr>
                <w:sz w:val="20"/>
              </w:rPr>
            </w:pPr>
            <w:bookmarkStart w:id="21" w:name="xdx_90B_edei--SecurityExchangeName_c2026"/>
            <w:bookmarkEnd w:id="21"/>
            <w:r>
              <w:rPr>
                <w:sz w:val="20"/>
              </w:rPr>
              <w:t>Nasdaq Global Select Market</w:t>
            </w:r>
          </w:p>
        </w:tc>
      </w:tr>
      <w:tr>
        <w:trPr/>
        <w:tc>
          <w:tcPr>
            <w:tcW w:w="3590" w:type="dxa"/>
            <w:tcBorders/>
            <w:vAlign w:val="center"/>
          </w:tcPr>
          <w:p>
            <w:pPr>
              <w:pStyle w:val="TableContents"/>
              <w:pBdr/>
              <w:bidi w:val="0"/>
              <w:spacing w:before="0" w:after="0"/>
              <w:ind w:left="135" w:right="0" w:hanging="135"/>
              <w:jc w:val="center"/>
              <w:rPr>
                <w:caps w:val="false"/>
                <w:smallCaps w:val="false"/>
              </w:rPr>
            </w:pPr>
            <w:r>
              <w:rPr>
                <w:caps w:val="false"/>
                <w:smallCaps w:val="false"/>
              </w:rPr>
              <w:t> </w:t>
            </w:r>
          </w:p>
        </w:tc>
        <w:tc>
          <w:tcPr>
            <w:tcW w:w="185" w:type="dxa"/>
            <w:tcBorders/>
            <w:vAlign w:val="center"/>
          </w:tcPr>
          <w:p>
            <w:pPr>
              <w:pStyle w:val="TableContents"/>
              <w:bidi w:val="0"/>
              <w:spacing w:before="0" w:after="283"/>
              <w:jc w:val="left"/>
              <w:rPr/>
            </w:pPr>
            <w:r>
              <w:rPr/>
              <w:t> </w:t>
            </w:r>
          </w:p>
        </w:tc>
        <w:tc>
          <w:tcPr>
            <w:tcW w:w="14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815"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2" w:name="xdx_90C_edei--EntityEmergingGrowthCompan"/>
      <w:bookmarkEnd w:id="22"/>
      <w:r>
        <w:rPr>
          <w:rFonts w:ascii="Wingdings" w:hAnsi="Wingdings"/>
          <w:b w:val="false"/>
          <w:i w:val="false"/>
          <w:caps w:val="false"/>
          <w:smallCaps w:val="false"/>
          <w:sz w:val="20"/>
        </w:rPr>
        <w:t>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211D1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3" w:name="xdx_90F_edei--EntityExTransitionPeriod_c"/>
      <w:bookmarkEnd w:id="23"/>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240"/>
        <w:ind w:left="0" w:right="0" w:hanging="0"/>
        <w:jc w:val="left"/>
        <w:rPr>
          <w:bdr w:val="single" w:sz="8" w:space="1" w:color="000000"/>
        </w:rPr>
      </w:pPr>
      <w:r>
        <w:rPr>
          <w:bdr w:val="single" w:sz="8" w:space="1" w:color="000000"/>
        </w:rPr>
        <w:t> </w:t>
      </w:r>
    </w:p>
    <w:p>
      <w:pPr>
        <w:pStyle w:val="TextBody"/>
        <w:bidi w:val="0"/>
        <w:spacing w:before="240" w:after="12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1.01. Entry into a Material Definitive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20, 2026, Jefferson Capital Holdings, LLC (the “Issuer”), an indirect wholly-owned subsidiary of Jefferson Capital, Inc. (the “Company”) issued $100 million aggregate principal amount of 8.250% Senior Notes due 2030 (the “Add-On Notes”), pursuant to an indenture, dated as of May 2, 2025 (the “Existing Indenture”), among the Issuer, the guarantors thereto and U.S. Bank Trust Company, National Association, as trustee (the “Trustee”), as further supplemented by the first supplemental indenture, dated August 20, 2026 (the “Supplemental Indenture” and, together with the Existing Indenture, the “Indenture”), among the Issuer, the guarantors thereto and the Trustee. The Notes are guaranteed on an unsecured senior basis by JCAP Funding Intermediate LLC, a Delaware limited liability company (“JCAP Funding”), Canaccede U.S. Holdings LLC, a Delaware limited liability company (“Canaccede”) and CFG Canada Funding Intermediate, LLC, a Delaware limited liability company (“CFG” and, together with JCAP Funding and Canaccede, the “Guarantors”). The Add-On Notes were offered and sold either to persons reasonably believed to be “qualified institutional buyers” pursuant to Rule 144A under the Securities Act of 1933, as amended (the “Securities Act”) or to persons outside the United States under Regulation S of the Securities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Indenture, interest on the Add-On Notes will accrue at a rate of 8.250% per annum payable semiannually in arrears on May 15 and November 15, commencing November 15, 2026. The Add-On Notes will mature on May 15, 2030, subject to earlier repurchase or redemption. The Issuer intends to use the net proceeds from this offering (i) to repay a portion of the borrowings currently outstanding under the Issuer’s Revolving Credit Facility and (ii) the remainder, if any, for general corporate purposes. The Issuer may in the future reborrow amounts under the Issuer’s Revolving Credit Facility to, among other things, purchase portfolios, fund acquisitions.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 may redeem the Add-On Notes, in whole or in part, at any time on or after May 15, 2027 at certain specified redemption prices set forth in the Indenture. In addition, at any time prior to May 15, 2027, the Issuer may redeem the Add-On Notes, in whole or in part, at a redemption price equal to 100% of the principal amount of the Add-On Notes to be redeemed, plus accrued and unpaid interest, if any, to but not including, the redemption date plus an applicable “make-whole” premium. At any time prior to May 15, 2027, the Issuer may also redeem up to 40.0% of the aggregate principal amount of Add-On Notes issued under the Indenture with net cash proceeds of certain equity offerings at a redemption price equal to 108.250% of the principal amount of the Add-On Notes to be redeemed, plus accrued and unpaid interest, if any, to but not including the redemption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 contains customary events of default, including, among other things, payment default, failure to comply with covenants or agreements contained in the Indenture or the Notes and certain provisions related to bankruptcy events. The Indenture also contains customary negative covenants.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 of the Indenture and the Add-On Notes is qualified in its entirety by reference to the Existing Indenture, the form of 8.250% Senior Notes due 2030 and the Supplemental Indenture, which are filed as Exhibits 4.1, 4.2 and 4.3, respectively, to this Current Report on Form 8-K and are incorporated herein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contained in this Current Report on Form 8-K is provided solely for informational purposes and does not constitute an offer of securities for sale or a solicitation of an offer to buy securities. No offer or sale of the Add-On Notes will be made in any jurisdiction in which such offer, solicitation or sale is unlawful. The Add-On Notes have not been and will not be registered under the Securities Act of 1933, as amended (the “Securities Act”), and may not be offered or sold in the United States absent registration or an applicable exemption from the registration requirements of the Securities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Current Report on Form 8-K , contains “forward-looking statements” within the meaning of Section 21E of the Securities Exchange Act of 1934, as amended, and in the U.S. Private Securities Litigation Reform Act of 1995. Readers are cautioned not to place undue reliance on these forward-looking statements and any such forward-looking statements are qualified in their entirety by reference to the following cautionary statements. All forward-looking statements speak only as of the date of this Current Report on Form 8-K and are based on current expectations and involve a number of assumptions, risks and uncertainties that could cause the actual results to differ materially from such forward-looking statements.</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725"/>
        <w:gridCol w:w="60"/>
        <w:gridCol w:w="9420"/>
      </w:tblGrid>
      <w:tr>
        <w:trPr/>
        <w:tc>
          <w:tcPr>
            <w:tcW w:w="725" w:type="dxa"/>
            <w:tcBorders>
              <w:bottom w:val="single" w:sz="8" w:space="0" w:color="000000"/>
            </w:tcBorders>
            <w:vAlign w:val="center"/>
          </w:tcPr>
          <w:p>
            <w:pPr>
              <w:pStyle w:val="TableContents"/>
              <w:bidi w:val="0"/>
              <w:spacing w:before="0" w:after="283"/>
              <w:jc w:val="center"/>
              <w:rPr>
                <w:b/>
                <w:sz w:val="20"/>
              </w:rPr>
            </w:pPr>
            <w:r>
              <w:rPr>
                <w:b/>
                <w:sz w:val="20"/>
              </w:rPr>
              <w:t>Exhibit</w:t>
              <w:br/>
              <w:t>Number</w:t>
            </w:r>
          </w:p>
        </w:tc>
        <w:tc>
          <w:tcPr>
            <w:tcW w:w="60" w:type="dxa"/>
            <w:tcBorders/>
            <w:tcMar>
              <w:bottom w:w="0" w:type="dxa"/>
            </w:tcMar>
            <w:vAlign w:val="center"/>
          </w:tcPr>
          <w:p>
            <w:pPr>
              <w:pStyle w:val="TableContents"/>
              <w:bidi w:val="0"/>
              <w:spacing w:before="0" w:after="283"/>
              <w:jc w:val="left"/>
              <w:rPr/>
            </w:pPr>
            <w:r>
              <w:rPr/>
              <w:t> </w:t>
            </w:r>
          </w:p>
        </w:tc>
        <w:tc>
          <w:tcPr>
            <w:tcW w:w="9420" w:type="dxa"/>
            <w:tcBorders>
              <w:bottom w:val="single" w:sz="8" w:space="0" w:color="000000"/>
            </w:tcBorders>
            <w:vAlign w:val="center"/>
          </w:tcPr>
          <w:p>
            <w:pPr>
              <w:pStyle w:val="TableContents"/>
              <w:bidi w:val="0"/>
              <w:spacing w:before="0" w:after="283"/>
              <w:jc w:val="center"/>
              <w:rPr>
                <w:b/>
                <w:sz w:val="20"/>
              </w:rPr>
            </w:pPr>
            <w:r>
              <w:rPr>
                <w:b/>
                <w:sz w:val="20"/>
              </w:rPr>
              <w:t>Description</w:t>
            </w:r>
          </w:p>
        </w:tc>
      </w:tr>
      <w:tr>
        <w:trPr/>
        <w:tc>
          <w:tcPr>
            <w:tcW w:w="725" w:type="dxa"/>
            <w:tcBorders/>
            <w:tcMar>
              <w:bottom w:w="0" w:type="dxa"/>
            </w:tcMar>
            <w:vAlign w:val="center"/>
          </w:tcPr>
          <w:p>
            <w:pPr>
              <w:pStyle w:val="TableContents"/>
              <w:bidi w:val="0"/>
              <w:spacing w:before="0" w:after="283"/>
              <w:jc w:val="left"/>
              <w:rPr/>
            </w:pPr>
            <w:r>
              <w:rPr/>
              <w:t> </w:t>
            </w:r>
          </w:p>
        </w:tc>
        <w:tc>
          <w:tcPr>
            <w:tcW w:w="9480" w:type="dxa"/>
            <w:gridSpan w:val="2"/>
            <w:tcBorders/>
            <w:tcMar>
              <w:bottom w:w="0" w:type="dxa"/>
            </w:tcMar>
            <w:vAlign w:val="center"/>
          </w:tcPr>
          <w:p>
            <w:pPr>
              <w:pStyle w:val="TableContents"/>
              <w:bidi w:val="0"/>
              <w:spacing w:before="0" w:after="283"/>
              <w:jc w:val="left"/>
              <w:rPr/>
            </w:pPr>
            <w:r>
              <w:rPr/>
              <w:t> </w:t>
            </w:r>
          </w:p>
        </w:tc>
      </w:tr>
      <w:tr>
        <w:trPr/>
        <w:tc>
          <w:tcPr>
            <w:tcW w:w="725" w:type="dxa"/>
            <w:tcBorders/>
            <w:tcMar>
              <w:bottom w:w="0" w:type="dxa"/>
            </w:tcMar>
            <w:vAlign w:val="center"/>
          </w:tcPr>
          <w:p>
            <w:pPr>
              <w:pStyle w:val="TableContents"/>
              <w:bidi w:val="0"/>
              <w:spacing w:before="0" w:after="283"/>
              <w:jc w:val="left"/>
              <w:rPr/>
            </w:pPr>
            <w:hyperlink r:id="rId2">
              <w:r>
                <w:rPr>
                  <w:rStyle w:val="InternetLink"/>
                  <w:sz w:val="20"/>
                </w:rPr>
                <w:t>4.1</w:t>
              </w:r>
            </w:hyperlink>
          </w:p>
        </w:tc>
        <w:tc>
          <w:tcPr>
            <w:tcW w:w="60" w:type="dxa"/>
            <w:tcBorders/>
            <w:tcMar>
              <w:bottom w:w="0" w:type="dxa"/>
            </w:tcMar>
            <w:vAlign w:val="center"/>
          </w:tcPr>
          <w:p>
            <w:pPr>
              <w:pStyle w:val="TableContents"/>
              <w:bidi w:val="0"/>
              <w:spacing w:before="0" w:after="283"/>
              <w:jc w:val="left"/>
              <w:rPr/>
            </w:pPr>
            <w:r>
              <w:rPr/>
              <w:t> </w:t>
            </w:r>
          </w:p>
        </w:tc>
        <w:tc>
          <w:tcPr>
            <w:tcW w:w="9420" w:type="dxa"/>
            <w:tcBorders/>
            <w:tcMar>
              <w:bottom w:w="0" w:type="dxa"/>
            </w:tcMar>
            <w:vAlign w:val="center"/>
          </w:tcPr>
          <w:p>
            <w:pPr>
              <w:pStyle w:val="TableContents"/>
              <w:bidi w:val="0"/>
              <w:spacing w:before="0" w:after="283"/>
              <w:jc w:val="left"/>
              <w:rPr/>
            </w:pPr>
            <w:hyperlink r:id="rId3">
              <w:r>
                <w:rPr>
                  <w:rStyle w:val="InternetLink"/>
                </w:rPr>
                <w:t>Indenture, dated as of May 2, 2025, among Jefferson Capital Holdings, LLC, the guarantors party thereto and U.S. Bank Trust Company, National Association, as trustee(incorporated by reference to Exhibit 4.6 of the Company’s Form 10-K, filed on March 13, 2026).</w:t>
              </w:r>
            </w:hyperlink>
          </w:p>
        </w:tc>
      </w:tr>
      <w:tr>
        <w:trPr/>
        <w:tc>
          <w:tcPr>
            <w:tcW w:w="72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420" w:type="dxa"/>
            <w:tcBorders/>
            <w:tcMar>
              <w:bottom w:w="0" w:type="dxa"/>
            </w:tcMar>
            <w:vAlign w:val="center"/>
          </w:tcPr>
          <w:p>
            <w:pPr>
              <w:pStyle w:val="TableContents"/>
              <w:bidi w:val="0"/>
              <w:spacing w:before="0" w:after="283"/>
              <w:jc w:val="left"/>
              <w:rPr/>
            </w:pPr>
            <w:r>
              <w:rPr/>
              <w:t> </w:t>
            </w:r>
          </w:p>
        </w:tc>
      </w:tr>
      <w:tr>
        <w:trPr/>
        <w:tc>
          <w:tcPr>
            <w:tcW w:w="725" w:type="dxa"/>
            <w:tcBorders/>
            <w:tcMar>
              <w:bottom w:w="0" w:type="dxa"/>
            </w:tcMar>
            <w:vAlign w:val="center"/>
          </w:tcPr>
          <w:p>
            <w:pPr>
              <w:pStyle w:val="TableContents"/>
              <w:bidi w:val="0"/>
              <w:spacing w:before="0" w:after="283"/>
              <w:jc w:val="left"/>
              <w:rPr/>
            </w:pPr>
            <w:hyperlink r:id="rId4">
              <w:r>
                <w:rPr>
                  <w:rStyle w:val="InternetLink"/>
                  <w:sz w:val="20"/>
                </w:rPr>
                <w:t>4.3</w:t>
              </w:r>
            </w:hyperlink>
          </w:p>
        </w:tc>
        <w:tc>
          <w:tcPr>
            <w:tcW w:w="60" w:type="dxa"/>
            <w:tcBorders/>
            <w:tcMar>
              <w:bottom w:w="0" w:type="dxa"/>
            </w:tcMar>
            <w:vAlign w:val="center"/>
          </w:tcPr>
          <w:p>
            <w:pPr>
              <w:pStyle w:val="TableContents"/>
              <w:bidi w:val="0"/>
              <w:spacing w:before="0" w:after="283"/>
              <w:jc w:val="left"/>
              <w:rPr/>
            </w:pPr>
            <w:r>
              <w:rPr/>
              <w:t> </w:t>
            </w:r>
          </w:p>
        </w:tc>
        <w:tc>
          <w:tcPr>
            <w:tcW w:w="9420" w:type="dxa"/>
            <w:tcBorders/>
            <w:tcMar>
              <w:bottom w:w="0" w:type="dxa"/>
            </w:tcMar>
            <w:vAlign w:val="center"/>
          </w:tcPr>
          <w:p>
            <w:pPr>
              <w:pStyle w:val="TableContents"/>
              <w:bidi w:val="0"/>
              <w:spacing w:before="0" w:after="283"/>
              <w:jc w:val="left"/>
              <w:rPr/>
            </w:pPr>
            <w:hyperlink r:id="rId5">
              <w:r>
                <w:rPr>
                  <w:rStyle w:val="InternetLink"/>
                  <w:sz w:val="20"/>
                </w:rPr>
                <w:t>Form of 8.250% Senior Notes due 2030 (included in Exhibit 4.1).</w:t>
              </w:r>
            </w:hyperlink>
          </w:p>
        </w:tc>
      </w:tr>
      <w:tr>
        <w:trPr/>
        <w:tc>
          <w:tcPr>
            <w:tcW w:w="72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420" w:type="dxa"/>
            <w:tcBorders/>
            <w:tcMar>
              <w:bottom w:w="0" w:type="dxa"/>
            </w:tcMar>
            <w:vAlign w:val="center"/>
          </w:tcPr>
          <w:p>
            <w:pPr>
              <w:pStyle w:val="TableContents"/>
              <w:bidi w:val="0"/>
              <w:spacing w:before="0" w:after="283"/>
              <w:jc w:val="left"/>
              <w:rPr/>
            </w:pPr>
            <w:r>
              <w:rPr/>
              <w:t> </w:t>
            </w:r>
          </w:p>
        </w:tc>
      </w:tr>
      <w:tr>
        <w:trPr/>
        <w:tc>
          <w:tcPr>
            <w:tcW w:w="725" w:type="dxa"/>
            <w:tcBorders/>
            <w:tcMar>
              <w:bottom w:w="0" w:type="dxa"/>
            </w:tcMar>
            <w:vAlign w:val="center"/>
          </w:tcPr>
          <w:p>
            <w:pPr>
              <w:pStyle w:val="TableContents"/>
              <w:bidi w:val="0"/>
              <w:spacing w:before="0" w:after="283"/>
              <w:jc w:val="left"/>
              <w:rPr/>
            </w:pPr>
            <w:hyperlink w:anchor="tm2623654d1_ex4-3.htm">
              <w:r>
                <w:rPr>
                  <w:rStyle w:val="InternetLink"/>
                  <w:sz w:val="20"/>
                </w:rPr>
                <w:t>4.3</w:t>
              </w:r>
            </w:hyperlink>
          </w:p>
        </w:tc>
        <w:tc>
          <w:tcPr>
            <w:tcW w:w="60" w:type="dxa"/>
            <w:tcBorders/>
            <w:tcMar>
              <w:bottom w:w="0" w:type="dxa"/>
            </w:tcMar>
            <w:vAlign w:val="center"/>
          </w:tcPr>
          <w:p>
            <w:pPr>
              <w:pStyle w:val="TableContents"/>
              <w:bidi w:val="0"/>
              <w:spacing w:before="0" w:after="283"/>
              <w:jc w:val="left"/>
              <w:rPr/>
            </w:pPr>
            <w:r>
              <w:rPr/>
              <w:t> </w:t>
            </w:r>
          </w:p>
        </w:tc>
        <w:tc>
          <w:tcPr>
            <w:tcW w:w="9420" w:type="dxa"/>
            <w:tcBorders/>
            <w:tcMar>
              <w:bottom w:w="0" w:type="dxa"/>
            </w:tcMar>
            <w:vAlign w:val="center"/>
          </w:tcPr>
          <w:p>
            <w:pPr>
              <w:pStyle w:val="TableContents"/>
              <w:bidi w:val="0"/>
              <w:spacing w:before="0" w:after="283"/>
              <w:jc w:val="left"/>
              <w:rPr/>
            </w:pPr>
            <w:hyperlink w:anchor="tm2623654d1_ex4-3.htm">
              <w:r>
                <w:rPr>
                  <w:rStyle w:val="InternetLink"/>
                </w:rPr>
                <w:t>First Supplemental Indenture, dated as of August 20, 2026, among Jefferson Capital Holdings, LLC, the guarantors party thereto and U.S. Bank Trust Company, National Association, as trustee.</w:t>
              </w:r>
            </w:hyperlink>
          </w:p>
        </w:tc>
      </w:tr>
      <w:tr>
        <w:trPr/>
        <w:tc>
          <w:tcPr>
            <w:tcW w:w="72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420" w:type="dxa"/>
            <w:tcBorders/>
            <w:tcMar>
              <w:bottom w:w="0" w:type="dxa"/>
            </w:tcMar>
            <w:vAlign w:val="center"/>
          </w:tcPr>
          <w:p>
            <w:pPr>
              <w:pStyle w:val="TableContents"/>
              <w:bidi w:val="0"/>
              <w:spacing w:before="0" w:after="283"/>
              <w:jc w:val="left"/>
              <w:rPr/>
            </w:pPr>
            <w:r>
              <w:rPr/>
              <w:t> </w:t>
            </w:r>
          </w:p>
        </w:tc>
      </w:tr>
      <w:tr>
        <w:trPr/>
        <w:tc>
          <w:tcPr>
            <w:tcW w:w="725" w:type="dxa"/>
            <w:tcBorders/>
            <w:tcMar>
              <w:bottom w:w="0" w:type="dxa"/>
            </w:tcMar>
            <w:vAlign w:val="center"/>
          </w:tcPr>
          <w:p>
            <w:pPr>
              <w:pStyle w:val="TableContents"/>
              <w:bidi w:val="0"/>
              <w:spacing w:before="0" w:after="283"/>
              <w:jc w:val="left"/>
              <w:rPr>
                <w:sz w:val="20"/>
              </w:rPr>
            </w:pPr>
            <w:r>
              <w:rPr>
                <w:sz w:val="20"/>
              </w:rPr>
              <w:t>104</w:t>
            </w:r>
          </w:p>
        </w:tc>
        <w:tc>
          <w:tcPr>
            <w:tcW w:w="60" w:type="dxa"/>
            <w:tcBorders/>
            <w:tcMar>
              <w:bottom w:w="0" w:type="dxa"/>
            </w:tcMar>
            <w:vAlign w:val="center"/>
          </w:tcPr>
          <w:p>
            <w:pPr>
              <w:pStyle w:val="TableContents"/>
              <w:bidi w:val="0"/>
              <w:spacing w:before="0" w:after="283"/>
              <w:jc w:val="left"/>
              <w:rPr/>
            </w:pPr>
            <w:r>
              <w:rPr/>
              <w:t> </w:t>
            </w:r>
          </w:p>
        </w:tc>
        <w:tc>
          <w:tcPr>
            <w:tcW w:w="9420" w:type="dxa"/>
            <w:tcBorders/>
            <w:tcMar>
              <w:bottom w:w="0" w:type="dxa"/>
            </w:tcMar>
            <w:vAlign w:val="center"/>
          </w:tcPr>
          <w:p>
            <w:pPr>
              <w:pStyle w:val="TableContents"/>
              <w:bidi w:val="0"/>
              <w:spacing w:before="0" w:after="283"/>
              <w:jc w:val="left"/>
              <w:rPr>
                <w:sz w:val="20"/>
              </w:rPr>
            </w:pPr>
            <w:r>
              <w:rPr>
                <w:sz w:val="20"/>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4350" w:type="dxa"/>
        <w:jc w:val="left"/>
        <w:tblInd w:w="0" w:type="dxa"/>
        <w:tblLayout w:type="fixed"/>
        <w:tblCellMar>
          <w:top w:w="0" w:type="dxa"/>
          <w:left w:w="0" w:type="dxa"/>
          <w:bottom w:w="0" w:type="dxa"/>
          <w:right w:w="0" w:type="dxa"/>
        </w:tblCellMar>
      </w:tblPr>
      <w:tblGrid>
        <w:gridCol w:w="1865"/>
        <w:gridCol w:w="590"/>
        <w:gridCol w:w="1895"/>
      </w:tblGrid>
      <w:tr>
        <w:trPr/>
        <w:tc>
          <w:tcPr>
            <w:tcW w:w="1865" w:type="dxa"/>
            <w:tcBorders/>
            <w:vAlign w:val="center"/>
          </w:tcPr>
          <w:p>
            <w:pPr>
              <w:pStyle w:val="TableContents"/>
              <w:bidi w:val="0"/>
              <w:spacing w:before="0" w:after="283"/>
              <w:jc w:val="left"/>
              <w:rPr/>
            </w:pPr>
            <w:r>
              <w:rPr/>
              <w:t> </w:t>
            </w:r>
          </w:p>
        </w:tc>
        <w:tc>
          <w:tcPr>
            <w:tcW w:w="2485"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Jefferson Capital, Inc.</w:t>
            </w:r>
          </w:p>
        </w:tc>
      </w:tr>
      <w:tr>
        <w:trPr/>
        <w:tc>
          <w:tcPr>
            <w:tcW w:w="1865" w:type="dxa"/>
            <w:tcBorders/>
            <w:vAlign w:val="center"/>
          </w:tcPr>
          <w:p>
            <w:pPr>
              <w:pStyle w:val="TableContents"/>
              <w:bidi w:val="0"/>
              <w:spacing w:before="0" w:after="283"/>
              <w:jc w:val="left"/>
              <w:rPr/>
            </w:pPr>
            <w:r>
              <w:rPr/>
              <w:t> </w:t>
            </w:r>
          </w:p>
        </w:tc>
        <w:tc>
          <w:tcPr>
            <w:tcW w:w="2485" w:type="dxa"/>
            <w:gridSpan w:val="2"/>
            <w:tcBorders/>
            <w:vAlign w:val="center"/>
          </w:tcPr>
          <w:p>
            <w:pPr>
              <w:pStyle w:val="TableContents"/>
              <w:bidi w:val="0"/>
              <w:spacing w:before="0" w:after="283"/>
              <w:jc w:val="left"/>
              <w:rPr/>
            </w:pPr>
            <w:r>
              <w:rPr/>
              <w:t> </w:t>
            </w:r>
          </w:p>
        </w:tc>
      </w:tr>
      <w:tr>
        <w:trPr/>
        <w:tc>
          <w:tcPr>
            <w:tcW w:w="1865" w:type="dxa"/>
            <w:tcBorders/>
            <w:vAlign w:val="center"/>
          </w:tcPr>
          <w:p>
            <w:pPr>
              <w:pStyle w:val="TableContents"/>
              <w:bidi w:val="0"/>
              <w:spacing w:before="0" w:after="283"/>
              <w:jc w:val="left"/>
              <w:rPr>
                <w:sz w:val="20"/>
              </w:rPr>
            </w:pPr>
            <w:r>
              <w:rPr>
                <w:sz w:val="20"/>
              </w:rPr>
              <w:t>Date: August 21, 2026</w:t>
            </w:r>
          </w:p>
        </w:tc>
        <w:tc>
          <w:tcPr>
            <w:tcW w:w="2485" w:type="dxa"/>
            <w:gridSpan w:val="2"/>
            <w:tcBorders/>
            <w:vAlign w:val="center"/>
          </w:tcPr>
          <w:p>
            <w:pPr>
              <w:pStyle w:val="TableContents"/>
              <w:bidi w:val="0"/>
              <w:spacing w:before="0" w:after="283"/>
              <w:jc w:val="left"/>
              <w:rPr/>
            </w:pPr>
            <w:r>
              <w:rPr/>
              <w:t> </w:t>
            </w:r>
          </w:p>
        </w:tc>
      </w:tr>
      <w:tr>
        <w:trPr/>
        <w:tc>
          <w:tcPr>
            <w:tcW w:w="186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 </w:t>
            </w:r>
          </w:p>
        </w:tc>
        <w:tc>
          <w:tcPr>
            <w:tcW w:w="189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i/>
                <w:sz w:val="20"/>
              </w:rPr>
              <w:t xml:space="preserve">/s/ </w:t>
            </w:r>
            <w:r>
              <w:rPr>
                <w:rFonts w:ascii="Times New Roman;Times;Serif" w:hAnsi="Times New Roman;Times;Serif"/>
                <w:sz w:val="20"/>
              </w:rPr>
              <w:t>Christo Realov</w:t>
            </w:r>
          </w:p>
        </w:tc>
      </w:tr>
      <w:tr>
        <w:trPr/>
        <w:tc>
          <w:tcPr>
            <w:tcW w:w="186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Name: </w:t>
            </w:r>
          </w:p>
        </w:tc>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Christo Realov</w:t>
            </w:r>
          </w:p>
        </w:tc>
      </w:tr>
      <w:tr>
        <w:trPr/>
        <w:tc>
          <w:tcPr>
            <w:tcW w:w="186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b/>
        </w:rPr>
      </w:pPr>
      <w:bookmarkStart w:id="24" w:name="tm2623654d1_ex4-3.htm"/>
      <w:bookmarkStart w:id="25" w:name="kstm2623654d1_ex43"/>
      <w:bookmarkEnd w:id="24"/>
      <w:bookmarkEnd w:id="25"/>
      <w:r>
        <w:rPr>
          <w:b/>
        </w:rPr>
        <w:t>Exhibit 4.3</w:t>
      </w:r>
      <w:r>
        <w:br w:type="page"/>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SUPPLEMENTAL INDENTURE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FIRST SUPPLEMENTAL INDENTURE (this “</w:t>
      </w:r>
      <w:r>
        <w:rPr>
          <w:rFonts w:ascii="Times New Roman;Times;Serif" w:hAnsi="Times New Roman;Times;Serif"/>
          <w:b w:val="false"/>
          <w:i w:val="false"/>
          <w:caps w:val="false"/>
          <w:smallCaps w:val="false"/>
          <w:sz w:val="20"/>
          <w:u w:val="single"/>
        </w:rPr>
        <w:t>Supplemental Indenture</w:t>
      </w:r>
      <w:r>
        <w:rPr>
          <w:rFonts w:ascii="Times New Roman;Times;Serif" w:hAnsi="Times New Roman;Times;Serif"/>
          <w:b w:val="false"/>
          <w:i w:val="false"/>
          <w:caps w:val="false"/>
          <w:smallCaps w:val="false"/>
          <w:sz w:val="20"/>
        </w:rPr>
        <w:t>”) dated as of August 20, 2026, by and among Jefferson Capital Holdings, LLC, a Delaware limited liability company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each of the parties identified on Annex A hereto (the “</w:t>
      </w:r>
      <w:r>
        <w:rPr>
          <w:rFonts w:ascii="Times New Roman;Times;Serif" w:hAnsi="Times New Roman;Times;Serif"/>
          <w:b w:val="false"/>
          <w:i w:val="false"/>
          <w:caps w:val="false"/>
          <w:smallCaps w:val="false"/>
          <w:sz w:val="20"/>
          <w:u w:val="single"/>
        </w:rPr>
        <w:t>Guarantors</w:t>
      </w:r>
      <w:r>
        <w:rPr>
          <w:rFonts w:ascii="Times New Roman;Times;Serif" w:hAnsi="Times New Roman;Times;Serif"/>
          <w:b w:val="false"/>
          <w:i w:val="false"/>
          <w:caps w:val="false"/>
          <w:smallCaps w:val="false"/>
          <w:sz w:val="20"/>
        </w:rPr>
        <w:t>”) and U.S. Bank Trust Company, National Association, as Trustee (the “</w:t>
      </w:r>
      <w:r>
        <w:rPr>
          <w:rFonts w:ascii="Times New Roman;Times;Serif" w:hAnsi="Times New Roman;Times;Serif"/>
          <w:b w:val="false"/>
          <w:i w:val="false"/>
          <w:caps w:val="false"/>
          <w:smallCaps w:val="false"/>
          <w:sz w:val="20"/>
          <w:u w:val="single"/>
        </w:rPr>
        <w:t>Trustee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WITNESSETH:</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Company, the Guarantors, and the Trustee are party to an indenture, dated as of May 2, 2025 (the “</w:t>
      </w:r>
      <w:r>
        <w:rPr>
          <w:rFonts w:ascii="Times New Roman;Times;Serif" w:hAnsi="Times New Roman;Times;Serif"/>
          <w:b w:val="false"/>
          <w:i w:val="false"/>
          <w:caps w:val="false"/>
          <w:smallCaps w:val="false"/>
          <w:sz w:val="20"/>
          <w:u w:val="single"/>
        </w:rPr>
        <w:t>Existing Indenture</w:t>
      </w:r>
      <w:r>
        <w:rPr>
          <w:rFonts w:ascii="Times New Roman;Times;Serif" w:hAnsi="Times New Roman;Times;Serif"/>
          <w:b w:val="false"/>
          <w:i w:val="false"/>
          <w:caps w:val="false"/>
          <w:smallCaps w:val="false"/>
          <w:sz w:val="20"/>
        </w:rPr>
        <w:t>” and together with this Supplemental Indenture, the “</w:t>
      </w:r>
      <w:r>
        <w:rPr>
          <w:rFonts w:ascii="Times New Roman;Times;Serif" w:hAnsi="Times New Roman;Times;Serif"/>
          <w:b w:val="false"/>
          <w:i w:val="false"/>
          <w:caps w:val="false"/>
          <w:smallCaps w:val="false"/>
          <w:sz w:val="20"/>
          <w:u w:val="single"/>
        </w:rPr>
        <w:t>Indenture</w:t>
      </w:r>
      <w:r>
        <w:rPr>
          <w:rFonts w:ascii="Times New Roman;Times;Serif" w:hAnsi="Times New Roman;Times;Serif"/>
          <w:b w:val="false"/>
          <w:i w:val="false"/>
          <w:caps w:val="false"/>
          <w:smallCaps w:val="false"/>
          <w:sz w:val="20"/>
        </w:rPr>
        <w:t>”), providing for the issuance by the Company of its 8.250% Senior Notes due 2030;</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pursuant to and on the date of the Existing Indenture, the Company initially issued $500,000,000 aggregate principal amount of its 8.250% Senior Notes due 2030 (the “</w:t>
      </w:r>
      <w:r>
        <w:rPr>
          <w:rFonts w:ascii="Times New Roman;Times;Serif" w:hAnsi="Times New Roman;Times;Serif"/>
          <w:b w:val="false"/>
          <w:i w:val="false"/>
          <w:caps w:val="false"/>
          <w:smallCaps w:val="false"/>
          <w:sz w:val="20"/>
          <w:u w:val="single"/>
        </w:rPr>
        <w:t>Existing Notes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Section 2.13 of the Existing Indenture provides that the Company shall be entitled, subject to its compliance with Section 4.03 of the Existing Indenture, to issue Additional Notes (as defined in the Existing Indenture) under the Existing Indenture;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Company wishes to issue an additional $100,000,000 aggregate principal amount of its 8.250% Senior Notes due 2030 as Additional Notes (the “</w:t>
      </w:r>
      <w:r>
        <w:rPr>
          <w:rFonts w:ascii="Times New Roman;Times;Serif" w:hAnsi="Times New Roman;Times;Serif"/>
          <w:b w:val="false"/>
          <w:i w:val="false"/>
          <w:caps w:val="false"/>
          <w:smallCaps w:val="false"/>
          <w:sz w:val="20"/>
          <w:u w:val="single"/>
        </w:rPr>
        <w:t>New Notes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Company and the Guarantors are authorized to execute and deliver this Supplemental Indenture;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Company has requested that the Trustee execute and deliver this Supplemental Indenture; and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all conditions and requirements necessary to the execution and delivery of this Supplemental Indenture have been done and performed, and the execution and delivery hereof has been in all respects authorized.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in consideration of the foregoing and for other good and valuable consideration, the receipt of which is hereby acknowledged the Company, the Guarantors and the Trustee mutually covenant and agree as follows: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w:t>
      </w:r>
      <w:r>
        <w:rPr>
          <w:rFonts w:ascii="Times New Roman;Times;Serif" w:hAnsi="Times New Roman;Times;Serif"/>
          <w:b w:val="false"/>
          <w:i w:val="false"/>
          <w:caps w:val="false"/>
          <w:smallCaps w:val="false"/>
          <w:sz w:val="20"/>
          <w:u w:val="single"/>
        </w:rPr>
        <w:t>Defined Terms</w:t>
      </w:r>
      <w:r>
        <w:rPr>
          <w:rFonts w:ascii="Times New Roman;Times;Serif" w:hAnsi="Times New Roman;Times;Serif"/>
          <w:b w:val="false"/>
          <w:i w:val="false"/>
          <w:caps w:val="false"/>
          <w:smallCaps w:val="false"/>
          <w:sz w:val="20"/>
        </w:rPr>
        <w:t>. Capitalized terms used herein without definition shall have the meanings assigned to them in the Existing Indenture. The words “herein,” “hereof” and “hereby” and other words of similar import used in this Supplemental Indenture refer to this Supplemental Indenture as a whole and not to any particular section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r>
        <w:rPr>
          <w:rFonts w:ascii="Times New Roman;Times;Serif" w:hAnsi="Times New Roman;Times;Serif"/>
          <w:b w:val="false"/>
          <w:i w:val="false"/>
          <w:caps w:val="false"/>
          <w:smallCaps w:val="false"/>
          <w:sz w:val="20"/>
          <w:u w:val="single"/>
        </w:rPr>
        <w:t>Amount of New Notes</w:t>
      </w:r>
      <w:r>
        <w:rPr>
          <w:rFonts w:ascii="Times New Roman;Times;Serif" w:hAnsi="Times New Roman;Times;Serif"/>
          <w:b w:val="false"/>
          <w:i w:val="false"/>
          <w:caps w:val="false"/>
          <w:smallCaps w:val="false"/>
          <w:sz w:val="20"/>
        </w:rPr>
        <w:t>. The aggregate principal amount of New Notes to be authenticated and delivered under this Supplemental Indenture on August 20, 2026 is $100,000,000.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sz w:val="20"/>
          <w:bdr w:val="single" w:sz="8" w:space="1" w:color="000000"/>
        </w:rPr>
      </w:pPr>
      <w:r>
        <w:rPr>
          <w:sz w:val="20"/>
          <w:bdr w:val="single" w:sz="8" w:space="1" w:color="000000"/>
        </w:rPr>
        <w:t>1</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w:t>
      </w:r>
      <w:r>
        <w:rPr>
          <w:rFonts w:ascii="Times New Roman;Times;Serif" w:hAnsi="Times New Roman;Times;Serif"/>
          <w:b w:val="false"/>
          <w:i w:val="false"/>
          <w:caps w:val="false"/>
          <w:smallCaps w:val="false"/>
          <w:sz w:val="20"/>
          <w:u w:val="single"/>
        </w:rPr>
        <w:t>Terms of New Notes</w:t>
      </w:r>
      <w:r>
        <w:rPr>
          <w:rFonts w:ascii="Times New Roman;Times;Serif" w:hAnsi="Times New Roman;Times;Serif"/>
          <w:b w:val="false"/>
          <w:i w:val="false"/>
          <w:caps w:val="false"/>
          <w:smallCaps w:val="false"/>
          <w:sz w:val="20"/>
        </w:rPr>
        <w:t>. The New Notes are to be issued as Additional Notes under the Indenture and shall:</w:t>
      </w:r>
    </w:p>
    <w:p>
      <w:pPr>
        <w:pStyle w:val="TextBody"/>
        <w:bidi w:val="0"/>
        <w:spacing w:before="0" w:after="0"/>
        <w:ind w:left="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5"/>
        <w:gridCol w:w="9983"/>
      </w:tblGrid>
      <w:tr>
        <w:trPr/>
        <w:tc>
          <w:tcPr>
            <w:tcW w:w="3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a.</w:t>
            </w:r>
          </w:p>
        </w:tc>
        <w:tc>
          <w:tcPr>
            <w:tcW w:w="9983" w:type="dxa"/>
            <w:tcBorders/>
            <w:vAlign w:val="center"/>
          </w:tcPr>
          <w:p>
            <w:pPr>
              <w:pStyle w:val="TableContents"/>
              <w:bidi w:val="0"/>
              <w:spacing w:before="0" w:after="283"/>
              <w:jc w:val="both"/>
              <w:rPr/>
            </w:pPr>
            <w:r>
              <w:rPr/>
              <w:t>be issued as part of the existing series of Existing Notes under the Indenture, and the New Notes and the Existing Notes shall be a single class for all purposes under the Indenture, including, without limitation, with respect to waivers, amendments, redemptions and offers to purchase;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0"/>
        <w:gridCol w:w="9968"/>
      </w:tblGrid>
      <w:tr>
        <w:trPr/>
        <w:tc>
          <w:tcPr>
            <w:tcW w:w="3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b.</w:t>
            </w:r>
          </w:p>
        </w:tc>
        <w:tc>
          <w:tcPr>
            <w:tcW w:w="9968" w:type="dxa"/>
            <w:tcBorders/>
            <w:vAlign w:val="center"/>
          </w:tcPr>
          <w:p>
            <w:pPr>
              <w:pStyle w:val="TableContents"/>
              <w:bidi w:val="0"/>
              <w:spacing w:before="0" w:after="283"/>
              <w:jc w:val="both"/>
              <w:rPr/>
            </w:pPr>
            <w:r>
              <w:rPr/>
              <w:t>be issued on August 20, 2026 at an issue price of 104.000% of the principal amount plus accrued interest from May 15, 2026 to, but excluding, August 20, 2026;</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5"/>
        <w:gridCol w:w="9983"/>
      </w:tblGrid>
      <w:tr>
        <w:trPr/>
        <w:tc>
          <w:tcPr>
            <w:tcW w:w="3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c.</w:t>
            </w:r>
          </w:p>
        </w:tc>
        <w:tc>
          <w:tcPr>
            <w:tcW w:w="9983" w:type="dxa"/>
            <w:tcBorders/>
            <w:vAlign w:val="center"/>
          </w:tcPr>
          <w:p>
            <w:pPr>
              <w:pStyle w:val="TableContents"/>
              <w:bidi w:val="0"/>
              <w:spacing w:before="0" w:after="283"/>
              <w:jc w:val="both"/>
              <w:rPr/>
            </w:pPr>
            <w:r>
              <w:rPr/>
              <w:t>be issuable in whole in the form of one or more Global Notes to be held by DTC and in the form, including appropriate transfer restriction legends, provided in Exhibit Ⅰ to the Existing Indenture;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0"/>
        <w:gridCol w:w="9968"/>
      </w:tblGrid>
      <w:tr>
        <w:trPr/>
        <w:tc>
          <w:tcPr>
            <w:tcW w:w="3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d.</w:t>
            </w:r>
          </w:p>
        </w:tc>
        <w:tc>
          <w:tcPr>
            <w:tcW w:w="9968" w:type="dxa"/>
            <w:tcBorders/>
            <w:vAlign w:val="center"/>
          </w:tcPr>
          <w:p>
            <w:pPr>
              <w:pStyle w:val="TableContents"/>
              <w:bidi w:val="0"/>
              <w:spacing w:before="0" w:after="283"/>
              <w:jc w:val="both"/>
              <w:rPr/>
            </w:pPr>
            <w:r>
              <w:rPr/>
              <w:t>initially bear, in the case of New Notes sold under Regulation S of the Securities Act, the CUSIP number of U0449H AD0 and ISIN of USU0449HAD09;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5"/>
        <w:gridCol w:w="9983"/>
      </w:tblGrid>
      <w:tr>
        <w:trPr/>
        <w:tc>
          <w:tcPr>
            <w:tcW w:w="3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e.</w:t>
            </w:r>
          </w:p>
        </w:tc>
        <w:tc>
          <w:tcPr>
            <w:tcW w:w="9983" w:type="dxa"/>
            <w:tcBorders/>
            <w:vAlign w:val="center"/>
          </w:tcPr>
          <w:p>
            <w:pPr>
              <w:pStyle w:val="TableContents"/>
              <w:bidi w:val="0"/>
              <w:spacing w:before="0" w:after="283"/>
              <w:jc w:val="both"/>
              <w:rPr/>
            </w:pPr>
            <w:r>
              <w:rPr/>
              <w:t>bear, in the case of New Notes sold under Rule 144A of the Securities Act, the same CUSIP number and ISIN as the Existing Notes that are Rule 144A Notes.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w:t>
      </w:r>
      <w:r>
        <w:rPr>
          <w:rFonts w:ascii="Times New Roman;Times;Serif" w:hAnsi="Times New Roman;Times;Serif"/>
          <w:b w:val="false"/>
          <w:i w:val="false"/>
          <w:caps w:val="false"/>
          <w:smallCaps w:val="false"/>
          <w:sz w:val="20"/>
          <w:u w:val="single"/>
        </w:rPr>
        <w:t>Ratification of Existing Indenture; Supplemental Indenture; Part of Indenture</w:t>
      </w:r>
      <w:r>
        <w:rPr>
          <w:rFonts w:ascii="Times New Roman;Times;Serif" w:hAnsi="Times New Roman;Times;Serif"/>
          <w:b w:val="false"/>
          <w:i w:val="false"/>
          <w:caps w:val="false"/>
          <w:smallCaps w:val="false"/>
          <w:sz w:val="20"/>
        </w:rPr>
        <w:t>. The Existing Indenture is in all respects ratified and confirmed and all the terms, conditions and provisions thereof shall remain in full force and effect. This Supplemental Indenture shall form a part of the Existing Indenture for all purposes, and every Holder of a Note or New Note heretofore or hereafter authenticated and delivered shall be bound hereby.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              </w:t>
      </w:r>
      <w:r>
        <w:rPr>
          <w:rFonts w:ascii="Times New Roman;Times;Serif" w:hAnsi="Times New Roman;Times;Serif"/>
          <w:b w:val="false"/>
          <w:i w:val="false"/>
          <w:caps w:val="false"/>
          <w:smallCaps w:val="false"/>
          <w:sz w:val="20"/>
          <w:u w:val="single"/>
        </w:rPr>
        <w:t>GOVERNING LAW</w:t>
      </w:r>
      <w:r>
        <w:rPr>
          <w:rFonts w:ascii="Times New Roman;Times;Serif" w:hAnsi="Times New Roman;Times;Serif"/>
          <w:b w:val="false"/>
          <w:i w:val="false"/>
          <w:caps w:val="false"/>
          <w:smallCaps w:val="false"/>
          <w:sz w:val="20"/>
        </w:rPr>
        <w:t>. THIS SUPPLEMENTAL INDENTURE AND THE NEW NOTES SHALL BE GOVERNED BY, AND CONSTRUED IN ACCORDANCE WITH, THE LAWS OF THE STATE OF NEW YORK. EACH OF THE PARTIES HERETO HEREBY WAIVES THE RIGHT TO TRIAL BY JURY WITH RESPECT TO ANY LITIGATION DIRECTLY OR INDIRECTLY ARISING OUT OF, UNDER OR IN CONNECTION WITH THIS SUPPLEMENTAL INDENTURE. The parties hereby (i) irrevocably submit to the non-exclusive jurisdiction of any federal or state court sitting in the Borough of Manhattan, the city of New York, (ii) waive any objection to laying of venue in any such action or proceeding in such courts, and (iii) waive any objection that such courts are an inconvenient forum or do not have jurisdiction over any party.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              </w:t>
      </w:r>
      <w:r>
        <w:rPr>
          <w:rFonts w:ascii="Times New Roman;Times;Serif" w:hAnsi="Times New Roman;Times;Serif"/>
          <w:b w:val="false"/>
          <w:i w:val="false"/>
          <w:caps w:val="false"/>
          <w:smallCaps w:val="false"/>
          <w:sz w:val="20"/>
          <w:u w:val="single"/>
        </w:rPr>
        <w:t>Trustee’s Assumption; Trustee Makes No Representation</w:t>
      </w:r>
      <w:r>
        <w:rPr>
          <w:rFonts w:ascii="Times New Roman;Times;Serif" w:hAnsi="Times New Roman;Times;Serif"/>
          <w:b w:val="false"/>
          <w:i w:val="false"/>
          <w:caps w:val="false"/>
          <w:smallCaps w:val="false"/>
          <w:sz w:val="20"/>
        </w:rPr>
        <w:t>. The Trustee assumes no duties, responsibilities or liabilities under this Supplemental Indenture other than as set forth in the Existing Indenture. The Trustee makes no representation as to the validity or sufficiency of this Supplemental Indenture. The Trustee shall not be responsible for any statement or recital herein or any statement or recital contained in any document in connection with the sale of the New Notes.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            </w:t>
      </w:r>
      <w:r>
        <w:rPr>
          <w:rFonts w:ascii="Times New Roman;Times;Serif" w:hAnsi="Times New Roman;Times;Serif"/>
          <w:b w:val="false"/>
          <w:i w:val="false"/>
          <w:caps w:val="false"/>
          <w:smallCaps w:val="false"/>
          <w:sz w:val="20"/>
          <w:u w:val="single"/>
        </w:rPr>
        <w:t>Counterparts</w:t>
      </w:r>
      <w:r>
        <w:rPr>
          <w:rFonts w:ascii="Times New Roman;Times;Serif" w:hAnsi="Times New Roman;Times;Serif"/>
          <w:b w:val="false"/>
          <w:i w:val="false"/>
          <w:caps w:val="false"/>
          <w:smallCaps w:val="false"/>
          <w:sz w:val="20"/>
        </w:rPr>
        <w:t>. The parties may sign any number of copies of this Supplemental Indenture. Each signed copy shall be an original, but all of them together represent the same agreement. One signed copy is enough to prove this Supplemental Indenture. Any signature to this Supplemental Indenture (or any supplement hereto) or any documents delivered in connection herewith may be delivered by facsimile, electronic mail (including pdf) or any electronic signature complying with the U.S. federal ESIGN Act of 2000 or the New York Electronic Signature and Records Act or other transmission method and any counterpart so delivered shall be deemed to have been duly and validly delivered and be valid and effective for all purposes to the fullest extent permitted by applicable law. Each of the Company and the Guarantors represents and warrants to the Trustee that it has the corporate or other capacity and authority to execute this Supplemental Indenture through electronic means and there are no restrictions for doing so in that party’s constitutive documents. Electronic signatures believed by the Trustee to comply with the U.S. federal ESIGN Act of 2000 or the New York Electronic Signature and Records Act or other applicable law (including electronic images of handwritten signatures and digital signatures provided by DocuSign, Adobe Sign or any other digital signature provider identified by any other party hereto and acceptable to the Trustee) shall be deemed original signatures for all purposes. Each other party to this Supplemental Indenture assumes all risks arising out of the use of electronic signatures and electronic methods to execute documents or send notices, instructions or other communications to the Trustee, including without limitation the risk of the Trustee acting on an unauthorized notices, instructions or other communications and the risk of interception or misuse by third parties.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            </w:t>
      </w:r>
      <w:r>
        <w:rPr>
          <w:rFonts w:ascii="Times New Roman;Times;Serif" w:hAnsi="Times New Roman;Times;Serif"/>
          <w:b w:val="false"/>
          <w:i w:val="false"/>
          <w:caps w:val="false"/>
          <w:smallCaps w:val="false"/>
          <w:sz w:val="20"/>
          <w:u w:val="single"/>
        </w:rPr>
        <w:t>Effect of Headings</w:t>
      </w:r>
      <w:r>
        <w:rPr>
          <w:rFonts w:ascii="Times New Roman;Times;Serif" w:hAnsi="Times New Roman;Times;Serif"/>
          <w:b w:val="false"/>
          <w:i w:val="false"/>
          <w:caps w:val="false"/>
          <w:smallCaps w:val="false"/>
          <w:sz w:val="20"/>
        </w:rPr>
        <w:t>. The headings of the Sections of this Supplemental Indenture have been inserted for convenience of reference only, are not intended to be considered a part of this Supplemental Indenture and shall not modify or restrict any of the terms or provisions of this Supplemental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sz w:val="20"/>
          <w:bdr w:val="single" w:sz="8" w:space="1" w:color="000000"/>
        </w:rPr>
      </w:pPr>
      <w:r>
        <w:rPr>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foregoing is in accordance with your understanding, please indicate your acceptance of this Agreement by signing in the space provided below.</w:t>
      </w:r>
    </w:p>
    <w:p>
      <w:pPr>
        <w:pStyle w:val="TextBody"/>
        <w:bidi w:val="0"/>
        <w:spacing w:before="0" w:after="0"/>
        <w:ind w:left="0" w:right="0" w:firstLine="720"/>
        <w:jc w:val="both"/>
        <w:rPr>
          <w:caps w:val="false"/>
          <w:smallCaps w:val="false"/>
        </w:rPr>
      </w:pPr>
      <w:r>
        <w:rPr>
          <w:caps w:val="false"/>
          <w:smallCaps w:val="false"/>
        </w:rPr>
        <w:t> </w:t>
      </w:r>
    </w:p>
    <w:tbl>
      <w:tblPr>
        <w:tblW w:w="3739" w:type="dxa"/>
        <w:jc w:val="left"/>
        <w:tblInd w:w="0" w:type="dxa"/>
        <w:tblLayout w:type="fixed"/>
        <w:tblCellMar>
          <w:top w:w="0" w:type="dxa"/>
          <w:left w:w="0" w:type="dxa"/>
          <w:bottom w:w="0" w:type="dxa"/>
          <w:right w:w="0" w:type="dxa"/>
        </w:tblCellMar>
      </w:tblPr>
      <w:tblGrid>
        <w:gridCol w:w="75"/>
        <w:gridCol w:w="687"/>
        <w:gridCol w:w="2977"/>
      </w:tblGrid>
      <w:tr>
        <w:trPr/>
        <w:tc>
          <w:tcPr>
            <w:tcW w:w="75" w:type="dxa"/>
            <w:tcBorders/>
            <w:vAlign w:val="center"/>
          </w:tcPr>
          <w:p>
            <w:pPr>
              <w:pStyle w:val="TableContents"/>
              <w:bidi w:val="0"/>
              <w:spacing w:before="0" w:after="283"/>
              <w:jc w:val="left"/>
              <w:rPr/>
            </w:pPr>
            <w:r>
              <w:rPr/>
              <w:t> </w:t>
            </w:r>
          </w:p>
        </w:tc>
        <w:tc>
          <w:tcPr>
            <w:tcW w:w="366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color w:val="282828"/>
                <w:sz w:val="20"/>
              </w:rPr>
            </w:pPr>
            <w:r>
              <w:rPr>
                <w:rFonts w:ascii="Times New Roman;Times;Serif" w:hAnsi="Times New Roman;Times;Serif"/>
                <w:b w:val="false"/>
                <w:i w:val="false"/>
                <w:caps w:val="false"/>
                <w:smallCaps w:val="false"/>
                <w:color w:val="282828"/>
                <w:sz w:val="20"/>
              </w:rPr>
              <w:t>Very truly yours,</w:t>
            </w:r>
          </w:p>
        </w:tc>
      </w:tr>
      <w:tr>
        <w:trPr/>
        <w:tc>
          <w:tcPr>
            <w:tcW w:w="75" w:type="dxa"/>
            <w:tcBorders/>
            <w:vAlign w:val="center"/>
          </w:tcPr>
          <w:p>
            <w:pPr>
              <w:pStyle w:val="TableContents"/>
              <w:bidi w:val="0"/>
              <w:spacing w:before="0" w:after="283"/>
              <w:jc w:val="left"/>
              <w:rPr/>
            </w:pPr>
            <w:r>
              <w:rPr/>
              <w:t> </w:t>
            </w:r>
          </w:p>
        </w:tc>
        <w:tc>
          <w:tcPr>
            <w:tcW w:w="366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664"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w:t>
            </w:r>
          </w:p>
        </w:tc>
      </w:tr>
      <w:tr>
        <w:trPr/>
        <w:tc>
          <w:tcPr>
            <w:tcW w:w="75" w:type="dxa"/>
            <w:tcBorders/>
            <w:vAlign w:val="center"/>
          </w:tcPr>
          <w:p>
            <w:pPr>
              <w:pStyle w:val="TableContents"/>
              <w:bidi w:val="0"/>
              <w:spacing w:before="0" w:after="283"/>
              <w:jc w:val="left"/>
              <w:rPr/>
            </w:pPr>
            <w:r>
              <w:rPr/>
              <w:t> </w:t>
            </w:r>
          </w:p>
        </w:tc>
        <w:tc>
          <w:tcPr>
            <w:tcW w:w="366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664"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JEFFERSON CAPITAL HOLDINGS, LLC</w:t>
            </w:r>
          </w:p>
        </w:tc>
      </w:tr>
      <w:tr>
        <w:trPr/>
        <w:tc>
          <w:tcPr>
            <w:tcW w:w="75" w:type="dxa"/>
            <w:tcBorders/>
            <w:vAlign w:val="center"/>
          </w:tcPr>
          <w:p>
            <w:pPr>
              <w:pStyle w:val="TableContents"/>
              <w:bidi w:val="0"/>
              <w:spacing w:before="0" w:after="283"/>
              <w:jc w:val="left"/>
              <w:rPr/>
            </w:pPr>
            <w:r>
              <w:rPr/>
              <w:t> </w:t>
            </w:r>
          </w:p>
        </w:tc>
        <w:tc>
          <w:tcPr>
            <w:tcW w:w="366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68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977"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David Burton</w:t>
            </w:r>
          </w:p>
        </w:tc>
      </w:tr>
      <w:tr>
        <w:trPr/>
        <w:tc>
          <w:tcPr>
            <w:tcW w:w="75" w:type="dxa"/>
            <w:tcBorders/>
            <w:vAlign w:val="center"/>
          </w:tcPr>
          <w:p>
            <w:pPr>
              <w:pStyle w:val="TableContents"/>
              <w:bidi w:val="0"/>
              <w:spacing w:before="0" w:after="283"/>
              <w:jc w:val="left"/>
              <w:rPr/>
            </w:pPr>
            <w:r>
              <w:rPr/>
              <w:t> </w:t>
            </w:r>
          </w:p>
        </w:tc>
        <w:tc>
          <w:tcPr>
            <w:tcW w:w="366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David M. Burton</w:t>
            </w:r>
          </w:p>
        </w:tc>
      </w:tr>
      <w:tr>
        <w:trPr/>
        <w:tc>
          <w:tcPr>
            <w:tcW w:w="75" w:type="dxa"/>
            <w:tcBorders/>
            <w:vAlign w:val="center"/>
          </w:tcPr>
          <w:p>
            <w:pPr>
              <w:pStyle w:val="TableContents"/>
              <w:bidi w:val="0"/>
              <w:spacing w:before="0" w:after="283"/>
              <w:jc w:val="left"/>
              <w:rPr/>
            </w:pPr>
            <w:r>
              <w:rPr/>
              <w:t> </w:t>
            </w:r>
          </w:p>
        </w:tc>
        <w:tc>
          <w:tcPr>
            <w:tcW w:w="366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President</w:t>
            </w:r>
          </w:p>
        </w:tc>
      </w:tr>
    </w:tbl>
    <w:p>
      <w:pPr>
        <w:pStyle w:val="TextBody"/>
        <w:bidi w:val="0"/>
        <w:spacing w:before="0" w:after="283"/>
        <w:jc w:val="left"/>
        <w:rPr/>
      </w:pPr>
      <w:r>
        <w:rPr/>
        <w:t> </w:t>
      </w:r>
    </w:p>
    <w:p>
      <w:pPr>
        <w:pStyle w:val="TextBody"/>
        <w:bidi w:val="0"/>
        <w:jc w:val="center"/>
        <w:rPr>
          <w:i/>
        </w:rPr>
      </w:pPr>
      <w:r>
        <w:rPr>
          <w:i/>
        </w:rPr>
        <w:t>[Signature Page to Supplemental Indenture]</w:t>
      </w:r>
    </w:p>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4384" w:type="dxa"/>
        <w:jc w:val="left"/>
        <w:tblInd w:w="0" w:type="dxa"/>
        <w:tblLayout w:type="fixed"/>
        <w:tblCellMar>
          <w:top w:w="0" w:type="dxa"/>
          <w:left w:w="0" w:type="dxa"/>
          <w:bottom w:w="0" w:type="dxa"/>
          <w:right w:w="0" w:type="dxa"/>
        </w:tblCellMar>
      </w:tblPr>
      <w:tblGrid>
        <w:gridCol w:w="75"/>
        <w:gridCol w:w="808"/>
        <w:gridCol w:w="3501"/>
      </w:tblGrid>
      <w:tr>
        <w:trPr/>
        <w:tc>
          <w:tcPr>
            <w:tcW w:w="75" w:type="dxa"/>
            <w:tcBorders/>
            <w:vAlign w:val="center"/>
          </w:tcPr>
          <w:p>
            <w:pPr>
              <w:pStyle w:val="TableContents"/>
              <w:bidi w:val="0"/>
              <w:spacing w:before="0" w:after="283"/>
              <w:jc w:val="left"/>
              <w:rPr/>
            </w:pPr>
            <w:r>
              <w:rPr/>
              <w:t> </w:t>
            </w:r>
          </w:p>
        </w:tc>
        <w:tc>
          <w:tcPr>
            <w:tcW w:w="4309"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GUARANTORS:</w:t>
            </w:r>
          </w:p>
        </w:tc>
      </w:tr>
      <w:tr>
        <w:trPr/>
        <w:tc>
          <w:tcPr>
            <w:tcW w:w="75" w:type="dxa"/>
            <w:tcBorders/>
            <w:vAlign w:val="center"/>
          </w:tcPr>
          <w:p>
            <w:pPr>
              <w:pStyle w:val="TableContents"/>
              <w:bidi w:val="0"/>
              <w:spacing w:before="0" w:after="283"/>
              <w:jc w:val="left"/>
              <w:rPr/>
            </w:pPr>
            <w:r>
              <w:rPr/>
              <w:t> </w:t>
            </w:r>
          </w:p>
        </w:tc>
        <w:tc>
          <w:tcPr>
            <w:tcW w:w="430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4309"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JCAP FUNDING INTERMEDIATE LLC</w:t>
            </w:r>
          </w:p>
        </w:tc>
      </w:tr>
      <w:tr>
        <w:trPr/>
        <w:tc>
          <w:tcPr>
            <w:tcW w:w="75" w:type="dxa"/>
            <w:tcBorders/>
            <w:vAlign w:val="center"/>
          </w:tcPr>
          <w:p>
            <w:pPr>
              <w:pStyle w:val="TableContents"/>
              <w:bidi w:val="0"/>
              <w:spacing w:before="0" w:after="283"/>
              <w:jc w:val="left"/>
              <w:rPr/>
            </w:pPr>
            <w:r>
              <w:rPr/>
              <w:t> </w:t>
            </w:r>
          </w:p>
        </w:tc>
        <w:tc>
          <w:tcPr>
            <w:tcW w:w="430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80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501"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David Burton</w:t>
            </w:r>
          </w:p>
        </w:tc>
      </w:tr>
      <w:tr>
        <w:trPr/>
        <w:tc>
          <w:tcPr>
            <w:tcW w:w="75" w:type="dxa"/>
            <w:tcBorders/>
            <w:vAlign w:val="center"/>
          </w:tcPr>
          <w:p>
            <w:pPr>
              <w:pStyle w:val="TableContents"/>
              <w:bidi w:val="0"/>
              <w:spacing w:before="0" w:after="283"/>
              <w:jc w:val="left"/>
              <w:rPr/>
            </w:pPr>
            <w:r>
              <w:rPr/>
              <w:t> </w:t>
            </w:r>
          </w:p>
        </w:tc>
        <w:tc>
          <w:tcPr>
            <w:tcW w:w="430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David M. Burton</w:t>
            </w:r>
          </w:p>
        </w:tc>
      </w:tr>
      <w:tr>
        <w:trPr/>
        <w:tc>
          <w:tcPr>
            <w:tcW w:w="75" w:type="dxa"/>
            <w:tcBorders/>
            <w:vAlign w:val="center"/>
          </w:tcPr>
          <w:p>
            <w:pPr>
              <w:pStyle w:val="TableContents"/>
              <w:bidi w:val="0"/>
              <w:spacing w:before="0" w:after="283"/>
              <w:jc w:val="left"/>
              <w:rPr/>
            </w:pPr>
            <w:r>
              <w:rPr/>
              <w:t> </w:t>
            </w:r>
          </w:p>
        </w:tc>
        <w:tc>
          <w:tcPr>
            <w:tcW w:w="430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President</w:t>
            </w:r>
          </w:p>
        </w:tc>
      </w:tr>
      <w:tr>
        <w:trPr/>
        <w:tc>
          <w:tcPr>
            <w:tcW w:w="75" w:type="dxa"/>
            <w:tcBorders/>
            <w:vAlign w:val="center"/>
          </w:tcPr>
          <w:p>
            <w:pPr>
              <w:pStyle w:val="TableContents"/>
              <w:bidi w:val="0"/>
              <w:spacing w:before="0" w:after="283"/>
              <w:jc w:val="left"/>
              <w:rPr/>
            </w:pPr>
            <w:r>
              <w:rPr/>
              <w:t> </w:t>
            </w:r>
          </w:p>
        </w:tc>
        <w:tc>
          <w:tcPr>
            <w:tcW w:w="430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4309"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CANACCEDE U.S. HOLDINGS LLC</w:t>
            </w:r>
          </w:p>
        </w:tc>
      </w:tr>
      <w:tr>
        <w:trPr/>
        <w:tc>
          <w:tcPr>
            <w:tcW w:w="75" w:type="dxa"/>
            <w:tcBorders/>
            <w:vAlign w:val="center"/>
          </w:tcPr>
          <w:p>
            <w:pPr>
              <w:pStyle w:val="TableContents"/>
              <w:bidi w:val="0"/>
              <w:spacing w:before="0" w:after="283"/>
              <w:jc w:val="left"/>
              <w:rPr/>
            </w:pPr>
            <w:r>
              <w:rPr/>
              <w:t> </w:t>
            </w:r>
          </w:p>
        </w:tc>
        <w:tc>
          <w:tcPr>
            <w:tcW w:w="430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80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501"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David Burton</w:t>
            </w:r>
          </w:p>
        </w:tc>
      </w:tr>
      <w:tr>
        <w:trPr/>
        <w:tc>
          <w:tcPr>
            <w:tcW w:w="75" w:type="dxa"/>
            <w:tcBorders/>
            <w:vAlign w:val="center"/>
          </w:tcPr>
          <w:p>
            <w:pPr>
              <w:pStyle w:val="TableContents"/>
              <w:bidi w:val="0"/>
              <w:spacing w:before="0" w:after="283"/>
              <w:jc w:val="left"/>
              <w:rPr/>
            </w:pPr>
            <w:r>
              <w:rPr/>
              <w:t> </w:t>
            </w:r>
          </w:p>
        </w:tc>
        <w:tc>
          <w:tcPr>
            <w:tcW w:w="430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David M. Burton</w:t>
            </w:r>
          </w:p>
        </w:tc>
      </w:tr>
      <w:tr>
        <w:trPr/>
        <w:tc>
          <w:tcPr>
            <w:tcW w:w="75" w:type="dxa"/>
            <w:tcBorders/>
            <w:vAlign w:val="center"/>
          </w:tcPr>
          <w:p>
            <w:pPr>
              <w:pStyle w:val="TableContents"/>
              <w:bidi w:val="0"/>
              <w:spacing w:before="0" w:after="283"/>
              <w:jc w:val="left"/>
              <w:rPr/>
            </w:pPr>
            <w:r>
              <w:rPr/>
              <w:t> </w:t>
            </w:r>
          </w:p>
        </w:tc>
        <w:tc>
          <w:tcPr>
            <w:tcW w:w="430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President</w:t>
            </w:r>
          </w:p>
        </w:tc>
      </w:tr>
      <w:tr>
        <w:trPr/>
        <w:tc>
          <w:tcPr>
            <w:tcW w:w="75" w:type="dxa"/>
            <w:tcBorders/>
            <w:vAlign w:val="center"/>
          </w:tcPr>
          <w:p>
            <w:pPr>
              <w:pStyle w:val="TableContents"/>
              <w:bidi w:val="0"/>
              <w:spacing w:before="0" w:after="283"/>
              <w:jc w:val="left"/>
              <w:rPr/>
            </w:pPr>
            <w:r>
              <w:rPr/>
              <w:t> </w:t>
            </w:r>
          </w:p>
        </w:tc>
        <w:tc>
          <w:tcPr>
            <w:tcW w:w="430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4309"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CFG CANADA FUNDING INTERMEDIATE, LLC</w:t>
            </w:r>
          </w:p>
        </w:tc>
      </w:tr>
      <w:tr>
        <w:trPr/>
        <w:tc>
          <w:tcPr>
            <w:tcW w:w="75" w:type="dxa"/>
            <w:tcBorders/>
            <w:vAlign w:val="center"/>
          </w:tcPr>
          <w:p>
            <w:pPr>
              <w:pStyle w:val="TableContents"/>
              <w:bidi w:val="0"/>
              <w:spacing w:before="0" w:after="283"/>
              <w:jc w:val="left"/>
              <w:rPr/>
            </w:pPr>
            <w:r>
              <w:rPr/>
              <w:t> </w:t>
            </w:r>
          </w:p>
        </w:tc>
        <w:tc>
          <w:tcPr>
            <w:tcW w:w="430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80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501"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David Burton</w:t>
            </w:r>
          </w:p>
        </w:tc>
      </w:tr>
      <w:tr>
        <w:trPr/>
        <w:tc>
          <w:tcPr>
            <w:tcW w:w="75" w:type="dxa"/>
            <w:tcBorders/>
            <w:vAlign w:val="center"/>
          </w:tcPr>
          <w:p>
            <w:pPr>
              <w:pStyle w:val="TableContents"/>
              <w:bidi w:val="0"/>
              <w:spacing w:before="0" w:after="283"/>
              <w:jc w:val="left"/>
              <w:rPr/>
            </w:pPr>
            <w:r>
              <w:rPr/>
              <w:t> </w:t>
            </w:r>
          </w:p>
        </w:tc>
        <w:tc>
          <w:tcPr>
            <w:tcW w:w="430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David M. Burton</w:t>
            </w:r>
          </w:p>
        </w:tc>
      </w:tr>
      <w:tr>
        <w:trPr/>
        <w:tc>
          <w:tcPr>
            <w:tcW w:w="75" w:type="dxa"/>
            <w:tcBorders/>
            <w:vAlign w:val="center"/>
          </w:tcPr>
          <w:p>
            <w:pPr>
              <w:pStyle w:val="TableContents"/>
              <w:bidi w:val="0"/>
              <w:spacing w:before="0" w:after="283"/>
              <w:jc w:val="left"/>
              <w:rPr/>
            </w:pPr>
            <w:r>
              <w:rPr/>
              <w:t> </w:t>
            </w:r>
          </w:p>
        </w:tc>
        <w:tc>
          <w:tcPr>
            <w:tcW w:w="430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CEO</w:t>
            </w:r>
          </w:p>
        </w:tc>
      </w:tr>
    </w:tbl>
    <w:p>
      <w:pPr>
        <w:pStyle w:val="TextBody"/>
        <w:bidi w:val="0"/>
        <w:spacing w:before="0" w:after="283"/>
        <w:jc w:val="left"/>
        <w:rPr/>
      </w:pPr>
      <w:r>
        <w:rPr/>
        <w:t> </w:t>
      </w:r>
    </w:p>
    <w:p>
      <w:pPr>
        <w:pStyle w:val="TextBody"/>
        <w:bidi w:val="0"/>
        <w:jc w:val="center"/>
        <w:rPr>
          <w:i/>
        </w:rPr>
      </w:pPr>
      <w:r>
        <w:rPr>
          <w:i/>
        </w:rPr>
        <w:t>[Signature Page to Supplemental Indenture]</w:t>
      </w:r>
    </w:p>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5959" w:type="dxa"/>
        <w:jc w:val="left"/>
        <w:tblInd w:w="0" w:type="dxa"/>
        <w:tblLayout w:type="fixed"/>
        <w:tblCellMar>
          <w:top w:w="0" w:type="dxa"/>
          <w:left w:w="0" w:type="dxa"/>
          <w:bottom w:w="0" w:type="dxa"/>
          <w:right w:w="0" w:type="dxa"/>
        </w:tblCellMar>
      </w:tblPr>
      <w:tblGrid>
        <w:gridCol w:w="75"/>
        <w:gridCol w:w="739"/>
        <w:gridCol w:w="5145"/>
      </w:tblGrid>
      <w:tr>
        <w:trPr/>
        <w:tc>
          <w:tcPr>
            <w:tcW w:w="75" w:type="dxa"/>
            <w:tcBorders/>
            <w:vAlign w:val="center"/>
          </w:tcPr>
          <w:p>
            <w:pPr>
              <w:pStyle w:val="TableContents"/>
              <w:bidi w:val="0"/>
              <w:spacing w:before="0" w:after="283"/>
              <w:jc w:val="left"/>
              <w:rPr/>
            </w:pPr>
            <w:r>
              <w:rPr/>
              <w:t> </w:t>
            </w:r>
          </w:p>
        </w:tc>
        <w:tc>
          <w:tcPr>
            <w:tcW w:w="588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BANK TRUST COMPANY, NATIONAL ASSOCIATION, as Trustee</w:t>
            </w:r>
          </w:p>
        </w:tc>
      </w:tr>
      <w:tr>
        <w:trPr/>
        <w:tc>
          <w:tcPr>
            <w:tcW w:w="75" w:type="dxa"/>
            <w:tcBorders/>
            <w:vAlign w:val="center"/>
          </w:tcPr>
          <w:p>
            <w:pPr>
              <w:pStyle w:val="TableContents"/>
              <w:bidi w:val="0"/>
              <w:spacing w:before="0" w:after="283"/>
              <w:jc w:val="left"/>
              <w:rPr/>
            </w:pPr>
            <w:r>
              <w:rPr/>
              <w:t> </w:t>
            </w:r>
          </w:p>
        </w:tc>
        <w:tc>
          <w:tcPr>
            <w:tcW w:w="588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73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514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Quinton M. DePompolo</w:t>
            </w:r>
          </w:p>
        </w:tc>
      </w:tr>
      <w:tr>
        <w:trPr/>
        <w:tc>
          <w:tcPr>
            <w:tcW w:w="75" w:type="dxa"/>
            <w:tcBorders/>
            <w:vAlign w:val="center"/>
          </w:tcPr>
          <w:p>
            <w:pPr>
              <w:pStyle w:val="TableContents"/>
              <w:bidi w:val="0"/>
              <w:spacing w:before="0" w:after="283"/>
              <w:jc w:val="left"/>
              <w:rPr/>
            </w:pPr>
            <w:r>
              <w:rPr/>
              <w:t> </w:t>
            </w:r>
          </w:p>
        </w:tc>
        <w:tc>
          <w:tcPr>
            <w:tcW w:w="588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Quinton M. DePompolo</w:t>
            </w:r>
          </w:p>
        </w:tc>
      </w:tr>
      <w:tr>
        <w:trPr/>
        <w:tc>
          <w:tcPr>
            <w:tcW w:w="75" w:type="dxa"/>
            <w:tcBorders/>
            <w:vAlign w:val="center"/>
          </w:tcPr>
          <w:p>
            <w:pPr>
              <w:pStyle w:val="TableContents"/>
              <w:bidi w:val="0"/>
              <w:spacing w:before="0" w:after="283"/>
              <w:jc w:val="left"/>
              <w:rPr/>
            </w:pPr>
            <w:r>
              <w:rPr/>
              <w:t> </w:t>
            </w:r>
          </w:p>
        </w:tc>
        <w:tc>
          <w:tcPr>
            <w:tcW w:w="588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Vice President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Supplemental Indenture]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Annex 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JCAP Funding Intermediate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CANACCEDE U.S. HOLDINGS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CFG Canada Funding Intermediate, LLC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Wingdings">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2046042/000110465925051664/tm2430355d9_ex4-6.htm" TargetMode="External"/><Relationship Id="rId3" Type="http://schemas.openxmlformats.org/officeDocument/2006/relationships/hyperlink" Target="https://www.sec.gov/Archives/edgar/data/2046042/000110465925051664/tm2430355d9_ex4-6.htm" TargetMode="External"/><Relationship Id="rId4" Type="http://schemas.openxmlformats.org/officeDocument/2006/relationships/hyperlink" Target="https://www.sec.gov/Archives/edgar/data/2046042/000110465925051664/tm2430355d9_ex4-6.htm" TargetMode="External"/><Relationship Id="rId5" Type="http://schemas.openxmlformats.org/officeDocument/2006/relationships/hyperlink" Target="https://www.sec.gov/Archives/edgar/data/2046042/000110465925051664/tm2430355d9_ex4-6.htm"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2544</Words>
  <Characters>13729</Characters>
  <CharactersWithSpaces>16405</CharactersWithSpaces>
  <Paragraphs>317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