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lineRule="atLeast" w:line="200" w:before="0" w:after="0"/>
        <w:ind w:left="0" w:right="0" w:hanging="0"/>
        <w:jc w:val="left"/>
        <w:rPr>
          <w:bdr w:val="single" w:sz="24" w:space="1" w:color="000000"/>
        </w:rPr>
      </w:pPr>
      <w:bookmarkStart w:id="0" w:name="jcap-20260514x8k.htm"/>
      <w:bookmarkStart w:id="1" w:name="ksjcap20260514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sz w:val="20"/>
        </w:rPr>
      </w:pPr>
      <w:bookmarkStart w:id="2" w:name="_09779992_b1f0_40e6_8b55_2f3e44a7e968"/>
      <w:bookmarkEnd w:id="2"/>
      <w:r>
        <w:rPr>
          <w:rFonts w:ascii="Times New Roman;Times;serif" w:hAnsi="Times New Roman;Times;serif"/>
          <w:b/>
          <w:sz w:val="28"/>
        </w:rPr>
        <w:t>UNITED STATES</w:t>
        <w:br/>
        <w:t>SECURITIES AND EXCHANGE COMMISSION</w:t>
      </w:r>
      <w:r>
        <w:rPr>
          <w:rFonts w:ascii="Times New Roman;Times;serif" w:hAnsi="Times New Roman;Times;serif"/>
          <w:sz w:val="20"/>
        </w:rPr>
        <w:t xml:space="preserve"> </w:t>
        <w:br/>
      </w:r>
      <w:r>
        <w:rPr>
          <w:rFonts w:ascii="Times New Roman;Times;serif" w:hAnsi="Times New Roman;Times;serif"/>
          <w:b/>
          <w:sz w:val="24"/>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36"/>
        </w:rPr>
      </w:pPr>
      <w:r>
        <w:rPr>
          <w:rFonts w:ascii="Times New Roman;Times;serif" w:hAnsi="Times New Roman;Times;serif"/>
          <w:b/>
          <w:sz w:val="36"/>
        </w:rPr>
        <w:t>FORM 8-K</w:t>
      </w:r>
      <w:r>
        <w:rPr>
          <w:rFonts w:ascii="Times New Roman;Times;serif" w:hAnsi="Times New Roman;Times;serif"/>
          <w:sz w:val="20"/>
        </w:rPr>
        <w:br/>
      </w: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w:t>
        <w:br/>
        <w:t>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May 14, 2026</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earliest event reported)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Jefferson Capital,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tbl>
      <w:tblPr>
        <w:tblW w:w="7098" w:type="dxa"/>
        <w:jc w:val="left"/>
        <w:tblInd w:w="0" w:type="dxa"/>
        <w:tblLayout w:type="fixed"/>
        <w:tblCellMar>
          <w:top w:w="0" w:type="dxa"/>
          <w:left w:w="0" w:type="dxa"/>
          <w:bottom w:w="0" w:type="dxa"/>
          <w:right w:w="0" w:type="dxa"/>
        </w:tblCellMar>
      </w:tblPr>
      <w:tblGrid>
        <w:gridCol w:w="2206"/>
        <w:gridCol w:w="3436"/>
        <w:gridCol w:w="1456"/>
      </w:tblGrid>
      <w:tr>
        <w:trPr/>
        <w:tc>
          <w:tcPr>
            <w:tcW w:w="22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r>
      <w:tr>
        <w:trPr/>
        <w:tc>
          <w:tcPr>
            <w:tcW w:w="220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w:t>
            </w:r>
          </w:p>
          <w:p>
            <w:pPr>
              <w:pStyle w:val="TableContents"/>
              <w:bidi w:val="0"/>
              <w:spacing w:before="0" w:after="0"/>
              <w:ind w:left="0" w:right="0" w:hanging="0"/>
              <w:jc w:val="center"/>
              <w:rPr/>
            </w:pPr>
            <w:r>
              <w:rPr/>
              <w:t>​</w:t>
            </w:r>
          </w:p>
        </w:tc>
        <w:tc>
          <w:tcPr>
            <w:tcW w:w="34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001-42718</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33-1923926</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r>
        <w:trPr/>
        <w:tc>
          <w:tcPr>
            <w:tcW w:w="2206" w:type="dxa"/>
            <w:tcBorders/>
            <w:vAlign w:val="center"/>
          </w:tcPr>
          <w:p>
            <w:pPr>
              <w:pStyle w:val="TableContents"/>
              <w:bidi w:val="0"/>
              <w:spacing w:before="0" w:after="0"/>
              <w:ind w:left="0" w:right="0" w:hanging="0"/>
              <w:jc w:val="center"/>
              <w:rPr/>
            </w:pPr>
            <w:r>
              <w:rPr/>
              <w:t>​</w:t>
            </w:r>
          </w:p>
        </w:tc>
        <w:tc>
          <w:tcPr>
            <w:tcW w:w="34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600 SOUTH HIGHWAY 169, SUITE 1575,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 xml:space="preserve">MINNEAPOLIS, </w:t>
            </w:r>
            <w:r>
              <w:rPr>
                <w:rFonts w:ascii="Times New Roman;Times;serif" w:hAnsi="Times New Roman;Times;serif"/>
                <w:b/>
                <w:i w:val="false"/>
                <w:caps w:val="false"/>
                <w:smallCaps w:val="false"/>
                <w:sz w:val="18"/>
              </w:rPr>
              <w:t>MINNESOTA</w:t>
            </w:r>
            <w:r>
              <w:rPr>
                <w:rFonts w:ascii="Times New Roman;Times;serif" w:hAnsi="Times New Roman;Times;serif"/>
                <w:sz w:val="20"/>
              </w:rPr>
              <w:t xml:space="preserve"> </w:t>
            </w:r>
            <w:r>
              <w:rPr>
                <w:rFonts w:ascii="Times New Roman;Times;serif" w:hAnsi="Times New Roman;Times;serif"/>
                <w:b/>
                <w:sz w:val="18"/>
              </w:rPr>
              <w:t>55426</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55426</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6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(320) 229-8505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Not Applicable</w:t>
        <w:br/>
      </w:r>
      <w:r>
        <w:rPr>
          <w:rFonts w:ascii="Times New Roman;Times;serif" w:hAnsi="Times New Roman;Times;serif"/>
          <w:sz w:val="18"/>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3" w:name="Tc_6bLtVhIV8EKz6Vjn_vy7EQ_1_4"/>
      <w:bookmarkStart w:id="4" w:name="Tc_uAkdLZJ8qUydC8MCTec19g_1_2"/>
      <w:bookmarkStart w:id="5" w:name="Tc_d1DoaEQ1tUeiIio48zbQpw_1_0"/>
      <w:bookmarkStart w:id="6" w:name="_fe377751_9234_40cf_b69c_ac1443183349"/>
      <w:bookmarkStart w:id="7" w:name="Tc_6bLtVhIV8EKz6Vjn_vy7EQ_1_4"/>
      <w:bookmarkStart w:id="8" w:name="Tc_uAkdLZJ8qUydC8MCTec19g_1_2"/>
      <w:bookmarkStart w:id="9" w:name="Tc_d1DoaEQ1tUeiIio48zbQpw_1_0"/>
      <w:bookmarkStart w:id="10" w:name="_fe377751_9234_40cf_b69c_ac1443183349"/>
      <w:bookmarkEnd w:id="7"/>
      <w:bookmarkEnd w:id="8"/>
      <w:bookmarkEnd w:id="9"/>
      <w:bookmarkEnd w:id="10"/>
    </w:p>
    <w:tbl>
      <w:tblPr>
        <w:tblW w:w="8960" w:type="dxa"/>
        <w:jc w:val="left"/>
        <w:tblInd w:w="0" w:type="dxa"/>
        <w:tblLayout w:type="fixed"/>
        <w:tblCellMar>
          <w:top w:w="0" w:type="dxa"/>
          <w:left w:w="0" w:type="dxa"/>
          <w:bottom w:w="0" w:type="dxa"/>
          <w:right w:w="0" w:type="dxa"/>
        </w:tblCellMar>
      </w:tblPr>
      <w:tblGrid>
        <w:gridCol w:w="3256"/>
        <w:gridCol w:w="451"/>
        <w:gridCol w:w="1411"/>
        <w:gridCol w:w="346"/>
        <w:gridCol w:w="349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67560" cy="29210"/>
                      <wp:effectExtent l="0" t="0" r="0" b="0"/>
                      <wp:wrapNone/>
                      <wp:docPr id="1" name="Frame1"/>
                      <a:graphic xmlns:a="http://schemas.openxmlformats.org/drawingml/2006/main">
                        <a:graphicData uri="http://schemas.microsoft.com/office/word/2010/wordprocessingShape">
                          <wps:wsp>
                            <wps:cNvSpPr txBox="1"/>
                            <wps:spPr>
                              <a:xfrm>
                                <a:off x="0" y="0"/>
                                <a:ext cx="2067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19960" cy="29210"/>
                      <wp:effectExtent l="0" t="0" r="0" b="0"/>
                      <wp:wrapNone/>
                      <wp:docPr id="3" name="Frame3"/>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25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Title of each class:</w:t>
            </w:r>
            <w:r>
              <w:rPr>
                <w:rFonts w:ascii="Times New Roman;Times;serif" w:hAnsi="Times New Roman;Times;serif"/>
                <w:sz w:val="18"/>
              </w:rPr>
              <w:t> </w:t>
            </w:r>
          </w:p>
        </w:tc>
        <w:tc>
          <w:tcPr>
            <w:tcW w:w="451"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Trading Symbol</w:t>
            </w: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center"/>
              <w:rPr/>
            </w:pPr>
            <w:r>
              <w:rPr/>
              <w:t>  ​ ​ ​</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Name of each exchange on which registered:</w:t>
            </w:r>
            <w:r>
              <w:rPr>
                <w:rFonts w:ascii="Times New Roman;Times;serif" w:hAnsi="Times New Roman;Times;serif"/>
                <w:sz w:val="18"/>
              </w:rPr>
              <w:t> </w:t>
            </w:r>
          </w:p>
        </w:tc>
      </w:tr>
      <w:tr>
        <w:trPr/>
        <w:tc>
          <w:tcPr>
            <w:tcW w:w="325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451" w:type="dxa"/>
            <w:tcBorders/>
            <w:vAlign w:val="center"/>
          </w:tcPr>
          <w:p>
            <w:pPr>
              <w:pStyle w:val="TableContents"/>
              <w:bidi w:val="0"/>
              <w:spacing w:before="0" w:after="0"/>
              <w:ind w:left="0" w:right="0" w:hanging="0"/>
              <w:jc w:val="left"/>
              <w:rPr/>
            </w:pPr>
            <w:r>
              <w:rPr/>
              <w:t> </w:t>
            </w:r>
          </w:p>
        </w:tc>
        <w:tc>
          <w:tcPr>
            <w:tcW w:w="14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JCAP</w:t>
            </w:r>
          </w:p>
        </w:tc>
        <w:tc>
          <w:tcPr>
            <w:tcW w:w="346" w:type="dxa"/>
            <w:tcBorders/>
            <w:vAlign w:val="center"/>
          </w:tcPr>
          <w:p>
            <w:pPr>
              <w:pStyle w:val="TableContents"/>
              <w:bidi w:val="0"/>
              <w:spacing w:before="0" w:after="0"/>
              <w:ind w:left="0" w:right="0" w:hanging="0"/>
              <w:jc w:val="left"/>
              <w:rPr/>
            </w:pPr>
            <w:r>
              <w:rPr/>
              <w:t> </w:t>
            </w:r>
          </w:p>
        </w:tc>
        <w:tc>
          <w:tcPr>
            <w:tcW w:w="34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r>
        <w:trPr/>
        <w:tc>
          <w:tcPr>
            <w:tcW w:w="3256" w:type="dxa"/>
            <w:tcBorders/>
            <w:vAlign w:val="center"/>
          </w:tcPr>
          <w:p>
            <w:pPr>
              <w:pStyle w:val="TableContents"/>
              <w:pBdr/>
              <w:bidi w:val="0"/>
              <w:spacing w:before="100" w:after="100"/>
              <w:ind w:left="0" w:right="0" w:hanging="0"/>
              <w:jc w:val="center"/>
              <w:rPr/>
            </w:pPr>
            <w:r>
              <w:rPr/>
              <w:t>​</w:t>
            </w:r>
          </w:p>
        </w:tc>
        <w:tc>
          <w:tcPr>
            <w:tcW w:w="451" w:type="dxa"/>
            <w:tcBorders/>
            <w:vAlign w:val="center"/>
          </w:tcPr>
          <w:p>
            <w:pPr>
              <w:pStyle w:val="TableContents"/>
              <w:bidi w:val="0"/>
              <w:spacing w:before="100" w:after="100"/>
              <w:ind w:left="0" w:right="0" w:hanging="0"/>
              <w:jc w:val="left"/>
              <w:rPr/>
            </w:pPr>
            <w:r>
              <w:rPr/>
              <w:t>​</w:t>
            </w:r>
          </w:p>
        </w:tc>
        <w:tc>
          <w:tcPr>
            <w:tcW w:w="1411" w:type="dxa"/>
            <w:tcBorders/>
            <w:vAlign w:val="center"/>
          </w:tcPr>
          <w:p>
            <w:pPr>
              <w:pStyle w:val="TableContents"/>
              <w:bidi w:val="0"/>
              <w:spacing w:before="100" w:after="100"/>
              <w:ind w:left="0" w:right="0" w:hanging="0"/>
              <w:jc w:val="center"/>
              <w:rPr/>
            </w:pPr>
            <w:r>
              <w:rPr/>
              <w:t>​</w:t>
            </w:r>
          </w:p>
        </w:tc>
        <w:tc>
          <w:tcPr>
            <w:tcW w:w="346" w:type="dxa"/>
            <w:tcBorders/>
            <w:vAlign w:val="center"/>
          </w:tcPr>
          <w:p>
            <w:pPr>
              <w:pStyle w:val="TableContents"/>
              <w:bidi w:val="0"/>
              <w:spacing w:before="100" w:after="100"/>
              <w:ind w:left="0" w:right="0" w:hanging="0"/>
              <w:jc w:val="left"/>
              <w:rPr/>
            </w:pPr>
            <w:r>
              <w:rPr/>
              <w:t>​</w:t>
            </w:r>
          </w:p>
        </w:tc>
        <w:tc>
          <w:tcPr>
            <w:tcW w:w="3496" w:type="dxa"/>
            <w:tcBorders/>
            <w:vAlign w:val="center"/>
          </w:tcPr>
          <w:p>
            <w:pPr>
              <w:pStyle w:val="TableContents"/>
              <w:bidi w:val="0"/>
              <w:spacing w:before="100" w:after="10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inherit" w:hAnsi="inherit"/>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Times;serif" w:hAnsi="Times New Roman;Times;serif"/>
          <w:sz w:val="18"/>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inherit" w:hAnsi="inherit"/>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inherit" w:hAnsi="inherit"/>
          <w:color w:val="211D1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lineRule="auto" w:line="343" w:before="0" w:after="0"/>
        <w:ind w:left="0" w:right="0" w:hanging="0"/>
        <w:jc w:val="left"/>
        <w:rPr>
          <w:bdr w:val="single" w:sz="24" w:space="1" w:color="000000"/>
        </w:rPr>
      </w:pPr>
      <w:r>
        <w:rPr>
          <w:bdr w:val="single" w:sz="24" w:space="1" w:color="000000"/>
        </w:rPr>
        <w:t>​</w:t>
      </w:r>
    </w:p>
    <w:p>
      <w:pPr>
        <w:pStyle w:val="TextBody"/>
        <w:bidi w:val="0"/>
        <w:spacing w:before="0" w:after="10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14, 2026, Jefferson Capital, Inc. (the “Company”) announced its financial results for the quarter ended March 31, 2026. The full text of the press release issued in connection with the announcement is furnished as Exhibit 99.1 to this Current Report on Form 8-K. The information contained in Item 2.02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 w:name="_3ddf1342_3dee_46f8_8070_e19d911c6a4a"/>
      <w:bookmarkEnd w:id="11"/>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Exhibit 99.1 shall be deemed to be furnished, and not filed:</w:t>
      </w:r>
    </w:p>
    <w:tbl>
      <w:tblPr>
        <w:tblW w:w="7682" w:type="dxa"/>
        <w:jc w:val="left"/>
        <w:tblInd w:w="0" w:type="dxa"/>
        <w:tblLayout w:type="fixed"/>
        <w:tblCellMar>
          <w:top w:w="0" w:type="dxa"/>
          <w:left w:w="0" w:type="dxa"/>
          <w:bottom w:w="0" w:type="dxa"/>
          <w:right w:w="0" w:type="dxa"/>
        </w:tblCellMar>
      </w:tblPr>
      <w:tblGrid>
        <w:gridCol w:w="1081"/>
        <w:gridCol w:w="66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99.1</w:t>
            </w:r>
          </w:p>
        </w:tc>
        <w:tc>
          <w:tcPr>
            <w:tcW w:w="6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pPr>
            <w:hyperlink w:anchor="jcap-20260514xex99d1.htm">
              <w:r>
                <w:rPr>
                  <w:rStyle w:val="InternetLink"/>
                  <w:rFonts w:ascii="Times New Roman;Times;serif" w:hAnsi="Times New Roman;Times;serif"/>
                  <w:b w:val="false"/>
                  <w:i w:val="false"/>
                  <w:caps w:val="false"/>
                  <w:smallCaps w:val="false"/>
                  <w:sz w:val="20"/>
                </w:rPr>
                <w:t>Press release issued on May 14, 2026</w:t>
              </w:r>
            </w:hyperlink>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104</w:t>
            </w:r>
          </w:p>
        </w:tc>
        <w:tc>
          <w:tcPr>
            <w:tcW w:w="6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pBdr/>
        <w:bidi w:val="0"/>
        <w:spacing w:before="0" w:after="0"/>
        <w:ind w:left="72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rFonts w:ascii="Times New Roman;Times;serif" w:hAnsi="Times New Roman;Times;serif"/>
          <w:b/>
          <w:sz w:val="20"/>
        </w:rPr>
      </w:pPr>
      <w:bookmarkStart w:id="12" w:name="_7cea6a9f_8523_40a1_a846_eeadcf650abe"/>
      <w:bookmarkEnd w:id="12"/>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247" w:type="dxa"/>
        <w:jc w:val="left"/>
        <w:tblInd w:w="0" w:type="dxa"/>
        <w:tblLayout w:type="fixed"/>
        <w:tblCellMar>
          <w:top w:w="0" w:type="dxa"/>
          <w:left w:w="0" w:type="dxa"/>
          <w:bottom w:w="0" w:type="dxa"/>
          <w:right w:w="0" w:type="dxa"/>
        </w:tblCellMar>
      </w:tblPr>
      <w:tblGrid>
        <w:gridCol w:w="1741"/>
        <w:gridCol w:w="2506"/>
      </w:tblGrid>
      <w:tr>
        <w:trPr/>
        <w:tc>
          <w:tcPr>
            <w:tcW w:w="174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Jefferson Capital, Inc.</w:t>
            </w:r>
          </w:p>
        </w:tc>
      </w:tr>
      <w:tr>
        <w:trPr/>
        <w:tc>
          <w:tcPr>
            <w:tcW w:w="174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25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5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i/>
                <w:sz w:val="20"/>
              </w:rPr>
              <w:t xml:space="preserve">/s/ </w:t>
            </w:r>
            <w:r>
              <w:rPr>
                <w:rFonts w:ascii="Times New Roman;Times;serif" w:hAnsi="Times New Roman;Times;serif"/>
                <w:sz w:val="20"/>
              </w:rPr>
              <w:t>Christo Realov</w:t>
            </w:r>
          </w:p>
        </w:tc>
      </w:tr>
      <w:tr>
        <w:trPr/>
        <w:tc>
          <w:tcPr>
            <w:tcW w:w="1741" w:type="dxa"/>
            <w:tcBorders/>
            <w:vAlign w:val="center"/>
          </w:tcPr>
          <w:p>
            <w:pPr>
              <w:pStyle w:val="TableContents"/>
              <w:bidi w:val="0"/>
              <w:spacing w:before="0" w:after="0"/>
              <w:ind w:left="0" w:right="0" w:hanging="0"/>
              <w:jc w:val="left"/>
              <w:rPr/>
            </w:pPr>
            <w:r>
              <w:rPr/>
              <w:t>​</w:t>
            </w:r>
          </w:p>
        </w:tc>
        <w:tc>
          <w:tcPr>
            <w:tcW w:w="2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Christo Realov</w:t>
            </w:r>
          </w:p>
        </w:tc>
      </w:tr>
      <w:tr>
        <w:trPr/>
        <w:tc>
          <w:tcPr>
            <w:tcW w:w="174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bookmarkStart w:id="13" w:name="jcap-20260514xex99d1.htm"/>
      <w:bookmarkStart w:id="14" w:name="ksjcap20260514xex99d1"/>
      <w:bookmarkEnd w:id="13"/>
      <w:bookmarkEnd w:id="14"/>
      <w:r>
        <w:rPr/>
        <w:drawing>
          <wp:inline distT="0" distB="0" distL="0" distR="0">
            <wp:extent cx="119634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96340" cy="457200"/>
                    </a:xfrm>
                    <a:prstGeom prst="rect">
                      <a:avLst/>
                    </a:prstGeom>
                  </pic:spPr>
                </pic:pic>
              </a:graphicData>
            </a:graphic>
          </wp:inline>
        </w:drawing>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Jefferson Capital Reports First Quarter 2026 Results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Record Quarterly Collections Grow 19% to $309.9 Million</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Estimated Remaining Collections (“ERC”) up 18% to $3.4 Billion</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Pre-tax Income of $51.1 Million with Net Income of $37.6 Million and EPS of $0.61</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Adjusted Pre-tax Income of $58.4 Million with Adjusted Net Income of $44.9 Million and Adjusted EPS of $0.73</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Board of Directors Declares Quarterly Cash Dividend of $0.24 per Share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b/>
          <w:sz w:val="20"/>
        </w:rPr>
        <w:t>MINNEAPOLIS, May 14, 2026 /GLOBE NEWSWIRE/ -- Jefferson Capital, Inc. (“Jefferson Capital”)</w:t>
      </w:r>
      <w:r>
        <w:rPr>
          <w:rFonts w:ascii="Times New Roman;Times;serif" w:hAnsi="Times New Roman;Times;serif"/>
          <w:sz w:val="20"/>
        </w:rPr>
        <w:t xml:space="preserve">, a leading analytically driven purchaser and manager of charged-off, insolvency and active consumer accounts, today announced its first quarter 2026 financial results.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r>
        <w:rPr>
          <w:rFonts w:ascii="Times New Roman;Times;serif" w:hAnsi="Times New Roman;Times;serif"/>
          <w:sz w:val="20"/>
        </w:rPr>
        <w:t>Jefferson Capital delivered excellent performance for the quarter with record collections and record revenue,” said David Burton, Chairman and Chief Executive Officer. “The strength of our business model with a differentiated investment strategy, disciplined underwriting and best-in-class efficiency positions us well to drive shareholder value now and in the future.”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r>
        <w:rPr>
          <w:rFonts w:ascii="Times New Roman;Times;serif" w:hAnsi="Times New Roman;Times;serif"/>
          <w:sz w:val="20"/>
        </w:rPr>
        <w:t>The investment environment remains favorable: consumer credit is at near record levels across all asset classes with elevated delinquencies and charge-offs, which create a long runway for portfolio supply. At the same time, the unemployment rate remains low which supports collection performance on our existing book and allows us to confidently deploy capital. We have never been better positioned to take advantage of the opportunities ahead with low leverage and ample capital resources.”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First Quarter 2026 Highlights (vs. First Quarter 2025)</w:t>
      </w:r>
    </w:p>
    <w:tbl>
      <w:tblPr>
        <w:tblW w:w="4090" w:type="dxa"/>
        <w:jc w:val="left"/>
        <w:tblInd w:w="0" w:type="dxa"/>
        <w:tblLayout w:type="fixed"/>
        <w:tblCellMar>
          <w:top w:w="0" w:type="dxa"/>
          <w:left w:w="0" w:type="dxa"/>
          <w:bottom w:w="0" w:type="dxa"/>
          <w:right w:w="0" w:type="dxa"/>
        </w:tblCellMar>
      </w:tblPr>
      <w:tblGrid>
        <w:gridCol w:w="170"/>
        <w:gridCol w:w="3920"/>
      </w:tblGrid>
      <w:tr>
        <w:trPr/>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Record collections grew 19% to $309.9 million </w:t>
            </w:r>
          </w:p>
        </w:tc>
      </w:tr>
    </w:tbl>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ERC rose 18% to $3.4 billion</w:t>
            </w:r>
          </w:p>
        </w:tc>
      </w:tr>
    </w:tbl>
    <w:tbl>
      <w:tblPr>
        <w:tblW w:w="3655" w:type="dxa"/>
        <w:jc w:val="left"/>
        <w:tblInd w:w="0" w:type="dxa"/>
        <w:tblLayout w:type="fixed"/>
        <w:tblCellMar>
          <w:top w:w="0" w:type="dxa"/>
          <w:left w:w="0" w:type="dxa"/>
          <w:bottom w:w="0" w:type="dxa"/>
          <w:right w:w="0" w:type="dxa"/>
        </w:tblCellMar>
      </w:tblPr>
      <w:tblGrid>
        <w:gridCol w:w="170"/>
        <w:gridCol w:w="3485"/>
      </w:tblGrid>
      <w:tr>
        <w:trPr/>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Record revenue up 14% to $176.4 million </w:t>
            </w:r>
          </w:p>
        </w:tc>
      </w:tr>
    </w:tbl>
    <w:tbl>
      <w:tblPr>
        <w:tblW w:w="3985" w:type="dxa"/>
        <w:jc w:val="left"/>
        <w:tblInd w:w="0" w:type="dxa"/>
        <w:tblLayout w:type="fixed"/>
        <w:tblCellMar>
          <w:top w:w="0" w:type="dxa"/>
          <w:left w:w="0" w:type="dxa"/>
          <w:bottom w:w="0" w:type="dxa"/>
          <w:right w:w="0" w:type="dxa"/>
        </w:tblCellMar>
      </w:tblPr>
      <w:tblGrid>
        <w:gridCol w:w="170"/>
        <w:gridCol w:w="3815"/>
      </w:tblGrid>
      <w:tr>
        <w:trPr/>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Sector-leading Cash Efficiency Ratio of 73.0%</w:t>
            </w:r>
          </w:p>
        </w:tc>
      </w:tr>
    </w:tbl>
    <w:tbl>
      <w:tblPr>
        <w:tblW w:w="4780" w:type="dxa"/>
        <w:jc w:val="left"/>
        <w:tblInd w:w="0" w:type="dxa"/>
        <w:tblLayout w:type="fixed"/>
        <w:tblCellMar>
          <w:top w:w="0" w:type="dxa"/>
          <w:left w:w="0" w:type="dxa"/>
          <w:bottom w:w="0" w:type="dxa"/>
          <w:right w:w="0" w:type="dxa"/>
        </w:tblCellMar>
      </w:tblPr>
      <w:tblGrid>
        <w:gridCol w:w="170"/>
        <w:gridCol w:w="4610"/>
      </w:tblGrid>
      <w:tr>
        <w:trPr/>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ratio* improved to 1.79x as compared to 2.17x</w:t>
            </w:r>
          </w:p>
        </w:tc>
      </w:tr>
    </w:tbl>
    <w:tbl>
      <w:tblPr>
        <w:tblW w:w="6955" w:type="dxa"/>
        <w:jc w:val="left"/>
        <w:tblInd w:w="0" w:type="dxa"/>
        <w:tblLayout w:type="fixed"/>
        <w:tblCellMar>
          <w:top w:w="0" w:type="dxa"/>
          <w:left w:w="0" w:type="dxa"/>
          <w:bottom w:w="0" w:type="dxa"/>
          <w:right w:w="0" w:type="dxa"/>
        </w:tblCellMar>
      </w:tblPr>
      <w:tblGrid>
        <w:gridCol w:w="170"/>
        <w:gridCol w:w="6785"/>
      </w:tblGrid>
      <w:tr>
        <w:trPr/>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Pre-tax Income of $51.1 million with Net Income of $37.6 million and EPS of $0.61</w:t>
            </w:r>
          </w:p>
        </w:tc>
      </w:tr>
    </w:tbl>
    <w:tbl>
      <w:tblPr>
        <w:tblW w:w="3655" w:type="dxa"/>
        <w:jc w:val="left"/>
        <w:tblInd w:w="0" w:type="dxa"/>
        <w:tblLayout w:type="fixed"/>
        <w:tblCellMar>
          <w:top w:w="0" w:type="dxa"/>
          <w:left w:w="0" w:type="dxa"/>
          <w:bottom w:w="0" w:type="dxa"/>
          <w:right w:w="0" w:type="dxa"/>
        </w:tblCellMar>
      </w:tblPr>
      <w:tblGrid>
        <w:gridCol w:w="170"/>
        <w:gridCol w:w="3485"/>
      </w:tblGrid>
      <w:tr>
        <w:trPr/>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Pre-tax Income* of $58.4 million</w:t>
            </w:r>
          </w:p>
        </w:tc>
      </w:tr>
    </w:tbl>
    <w:tbl>
      <w:tblPr>
        <w:tblW w:w="5995" w:type="dxa"/>
        <w:jc w:val="left"/>
        <w:tblInd w:w="0" w:type="dxa"/>
        <w:tblLayout w:type="fixed"/>
        <w:tblCellMar>
          <w:top w:w="0" w:type="dxa"/>
          <w:left w:w="0" w:type="dxa"/>
          <w:bottom w:w="0" w:type="dxa"/>
          <w:right w:w="0" w:type="dxa"/>
        </w:tblCellMar>
      </w:tblPr>
      <w:tblGrid>
        <w:gridCol w:w="170"/>
        <w:gridCol w:w="5825"/>
      </w:tblGrid>
      <w:tr>
        <w:trPr/>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Adjusted Net Income* of $44.9 million and Adjusted EPS of $0.73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Collections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total collections by geographic area:</w:t>
      </w:r>
    </w:p>
    <w:p>
      <w:pPr>
        <w:pStyle w:val="TextBody"/>
        <w:bidi w:val="0"/>
        <w:spacing w:lineRule="auto" w:line="285" w:before="0" w:after="0"/>
        <w:ind w:left="0" w:right="0" w:hanging="0"/>
        <w:jc w:val="left"/>
        <w:rPr/>
      </w:pPr>
      <w:r>
        <w:rPr/>
        <w:t>​</w:t>
      </w:r>
    </w:p>
    <w:tbl>
      <w:tblPr>
        <w:tblW w:w="6401" w:type="dxa"/>
        <w:jc w:val="left"/>
        <w:tblInd w:w="0" w:type="dxa"/>
        <w:tblLayout w:type="fixed"/>
        <w:tblCellMar>
          <w:top w:w="0" w:type="dxa"/>
          <w:left w:w="0" w:type="dxa"/>
          <w:bottom w:w="0" w:type="dxa"/>
          <w:right w:w="0" w:type="dxa"/>
        </w:tblCellMar>
      </w:tblPr>
      <w:tblGrid>
        <w:gridCol w:w="1576"/>
        <w:gridCol w:w="346"/>
        <w:gridCol w:w="211"/>
        <w:gridCol w:w="571"/>
        <w:gridCol w:w="346"/>
        <w:gridCol w:w="211"/>
        <w:gridCol w:w="571"/>
        <w:gridCol w:w="346"/>
        <w:gridCol w:w="270"/>
        <w:gridCol w:w="600"/>
        <w:gridCol w:w="346"/>
        <w:gridCol w:w="661"/>
        <w:gridCol w:w="346"/>
      </w:tblGrid>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6"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175260"/>
                      <wp:effectExtent l="0" t="0" r="0" b="0"/>
                      <wp:wrapNone/>
                      <wp:docPr id="7" name="Frame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9"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62585" cy="175260"/>
                      <wp:effectExtent l="0" t="0" r="0" b="0"/>
                      <wp:wrapNone/>
                      <wp:docPr id="10" name="Frame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71450" cy="175260"/>
                      <wp:effectExtent l="0" t="0" r="0" b="0"/>
                      <wp:wrapNone/>
                      <wp:docPr id="12" name="Frame1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1000" cy="175260"/>
                      <wp:effectExtent l="0" t="0" r="0" b="0"/>
                      <wp:wrapNone/>
                      <wp:docPr id="13" name="Frame1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19735" cy="175260"/>
                      <wp:effectExtent l="0" t="0" r="0" b="0"/>
                      <wp:wrapNone/>
                      <wp:docPr id="15" name="Frame1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60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left"/>
              <w:rPr/>
            </w:pPr>
            <w:r>
              <w:rPr/>
              <w:t>​</w:t>
            </w:r>
          </w:p>
        </w:tc>
        <w:tc>
          <w:tcPr>
            <w:tcW w:w="87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lineRule="auto" w:line="285"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6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Collections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309.9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260.9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18.8</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Collections from purchased receivables increased 18.8% or $49.0 million to $309.9 million during the first quarter of 2026 versus $260.9 million during the same quarter in 2025</w:t>
            </w:r>
          </w:p>
        </w:tc>
      </w:tr>
    </w:tbl>
    <w:p>
      <w:pPr>
        <w:pStyle w:val="TextBody"/>
        <w:bidi w:val="0"/>
        <w:spacing w:lineRule="auto" w:line="285" w:before="0" w:after="0"/>
        <w:ind w:left="0" w:right="0" w:hanging="0"/>
        <w:jc w:val="right"/>
        <w:rPr>
          <w:rFonts w:ascii="Times New Roman;Times;serif" w:hAnsi="Times New Roman;Times;serif"/>
          <w:sz w:val="24"/>
        </w:rPr>
      </w:pPr>
      <w:r>
        <w:rPr>
          <w:rFonts w:ascii="Times New Roman;Times;serif" w:hAnsi="Times New Roman;Times;serif"/>
          <w:sz w:val="24"/>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Collections in the United States included $54.5 million from the Bluestem portfolio purchase which closed in the fourth quarter of 2025</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Estimated Remaining Collections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total ERC by geographic area:</w:t>
      </w:r>
    </w:p>
    <w:tbl>
      <w:tblPr>
        <w:tblW w:w="6374" w:type="dxa"/>
        <w:jc w:val="left"/>
        <w:tblInd w:w="0" w:type="dxa"/>
        <w:tblLayout w:type="fixed"/>
        <w:tblCellMar>
          <w:top w:w="0" w:type="dxa"/>
          <w:left w:w="0" w:type="dxa"/>
          <w:bottom w:w="0" w:type="dxa"/>
          <w:right w:w="0" w:type="dxa"/>
        </w:tblCellMar>
      </w:tblPr>
      <w:tblGrid>
        <w:gridCol w:w="1486"/>
        <w:gridCol w:w="109"/>
        <w:gridCol w:w="211"/>
        <w:gridCol w:w="721"/>
        <w:gridCol w:w="346"/>
        <w:gridCol w:w="211"/>
        <w:gridCol w:w="721"/>
        <w:gridCol w:w="346"/>
        <w:gridCol w:w="234"/>
        <w:gridCol w:w="636"/>
        <w:gridCol w:w="346"/>
        <w:gridCol w:w="661"/>
        <w:gridCol w:w="346"/>
      </w:tblGrid>
      <w:tr>
        <w:trPr/>
        <w:tc>
          <w:tcPr>
            <w:tcW w:w="1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18"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19"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57835" cy="175260"/>
                      <wp:effectExtent l="0" t="0" r="0" b="0"/>
                      <wp:wrapNone/>
                      <wp:docPr id="20" name="Frame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1"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2"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57835" cy="175260"/>
                      <wp:effectExtent l="0" t="0" r="0" b="0"/>
                      <wp:wrapNone/>
                      <wp:docPr id="23" name="Frame2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4"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8590" cy="175260"/>
                      <wp:effectExtent l="0" t="0" r="0" b="0"/>
                      <wp:wrapNone/>
                      <wp:docPr id="25" name="Frame2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03860" cy="175260"/>
                      <wp:effectExtent l="0" t="0" r="0" b="0"/>
                      <wp:wrapNone/>
                      <wp:docPr id="26" name="Frame24"/>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27"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9735" cy="175260"/>
                      <wp:effectExtent l="0" t="0" r="0" b="0"/>
                      <wp:wrapNone/>
                      <wp:docPr id="28" name="Frame2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9"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left"/>
              <w:rPr/>
            </w:pPr>
            <w:r>
              <w:rPr/>
              <w:t>​</w:t>
            </w:r>
          </w:p>
        </w:tc>
        <w:tc>
          <w:tcPr>
            <w:tcW w:w="87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lineRule="auto" w:line="285"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lineRule="auto" w:line="285"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2,460.1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408.3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317.8</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6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6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218.5</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3,355.8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2,837.9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517.9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18.2</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ERC in the United States included $237.7 million from the Bluestem portfolio purchase which closed in the fourth quarter 2025</w:t>
            </w:r>
          </w:p>
        </w:tc>
      </w:tr>
    </w:tbl>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Deployments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total deployments by geographic area:</w:t>
      </w:r>
    </w:p>
    <w:p>
      <w:pPr>
        <w:pStyle w:val="TextBody"/>
        <w:bidi w:val="0"/>
        <w:spacing w:lineRule="auto" w:line="285" w:before="0" w:after="0"/>
        <w:ind w:left="0" w:right="0" w:hanging="0"/>
        <w:jc w:val="left"/>
        <w:rPr/>
      </w:pPr>
      <w:r>
        <w:rPr/>
        <w:t>​</w:t>
      </w:r>
    </w:p>
    <w:tbl>
      <w:tblPr>
        <w:tblW w:w="6311" w:type="dxa"/>
        <w:jc w:val="left"/>
        <w:tblInd w:w="0" w:type="dxa"/>
        <w:tblLayout w:type="fixed"/>
        <w:tblCellMar>
          <w:top w:w="0" w:type="dxa"/>
          <w:left w:w="0" w:type="dxa"/>
          <w:bottom w:w="0" w:type="dxa"/>
          <w:right w:w="0" w:type="dxa"/>
        </w:tblCellMar>
      </w:tblPr>
      <w:tblGrid>
        <w:gridCol w:w="1486"/>
        <w:gridCol w:w="346"/>
        <w:gridCol w:w="211"/>
        <w:gridCol w:w="571"/>
        <w:gridCol w:w="346"/>
        <w:gridCol w:w="211"/>
        <w:gridCol w:w="571"/>
        <w:gridCol w:w="346"/>
        <w:gridCol w:w="247"/>
        <w:gridCol w:w="623"/>
        <w:gridCol w:w="346"/>
        <w:gridCol w:w="661"/>
        <w:gridCol w:w="346"/>
      </w:tblGrid>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0"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1"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2585" cy="175260"/>
                      <wp:effectExtent l="0" t="0" r="0" b="0"/>
                      <wp:wrapNone/>
                      <wp:docPr id="32" name="Frame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3"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34"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62585" cy="175260"/>
                      <wp:effectExtent l="0" t="0" r="0" b="0"/>
                      <wp:wrapNone/>
                      <wp:docPr id="35" name="Frame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6845" cy="175260"/>
                      <wp:effectExtent l="0" t="0" r="0" b="0"/>
                      <wp:wrapNone/>
                      <wp:docPr id="37" name="Frame35"/>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95605" cy="175260"/>
                      <wp:effectExtent l="0" t="0" r="0" b="0"/>
                      <wp:wrapNone/>
                      <wp:docPr id="38" name="Frame36"/>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39"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19735" cy="175260"/>
                      <wp:effectExtent l="0" t="0" r="0" b="0"/>
                      <wp:wrapNone/>
                      <wp:docPr id="40" name="Frame3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1"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w:t>
            </w:r>
          </w:p>
        </w:tc>
        <w:tc>
          <w:tcPr>
            <w:tcW w:w="62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285" w:before="0" w:after="0"/>
              <w:ind w:left="0" w:right="0" w:hanging="0"/>
              <w:jc w:val="left"/>
              <w:rPr/>
            </w:pPr>
            <w:r>
              <w:rPr/>
              <w:t>​</w:t>
            </w:r>
          </w:p>
        </w:tc>
        <w:tc>
          <w:tcPr>
            <w:tcW w:w="87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lineRule="auto" w:line="285"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left"/>
              <w:rPr/>
            </w:pPr>
            <w:r>
              <w:rPr/>
              <w:t>​</w:t>
            </w:r>
          </w:p>
        </w:tc>
        <w:tc>
          <w:tcPr>
            <w:tcW w:w="6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pPr>
            <w:r>
              <w:rPr/>
              <w:t>​</w:t>
            </w:r>
          </w:p>
        </w:tc>
        <w:tc>
          <w:tcPr>
            <w:tcW w:w="6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399.2</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929.6</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Purchases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175.2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(14.6)</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invested $149.7 million during the quarter to acquire receivable portfolios, down 14.6% compared to $175.2 million in the first quarter 2025</w:t>
            </w:r>
          </w:p>
        </w:tc>
      </w:tr>
    </w:tbl>
    <w:tbl>
      <w:tblPr>
        <w:tblW w:w="7000" w:type="dxa"/>
        <w:jc w:val="left"/>
        <w:tblInd w:w="0" w:type="dxa"/>
        <w:tblLayout w:type="fixed"/>
        <w:tblCellMar>
          <w:top w:w="0" w:type="dxa"/>
          <w:left w:w="0" w:type="dxa"/>
          <w:bottom w:w="0" w:type="dxa"/>
          <w:right w:w="0" w:type="dxa"/>
        </w:tblCellMar>
      </w:tblPr>
      <w:tblGrid>
        <w:gridCol w:w="170"/>
        <w:gridCol w:w="6830"/>
      </w:tblGrid>
      <w:tr>
        <w:trPr/>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$353.2 million in committed forward flows</w:t>
            </w:r>
          </w:p>
        </w:tc>
      </w:tr>
    </w:tbl>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Revenues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revenues increased $21.5 million for the quarter, or 13.9%, to $176.4 million compared to $154.9 million for the first quarter 2025. The growth was primarily the result of strong deployments in prior periods </w:t>
            </w:r>
          </w:p>
        </w:tc>
      </w:tr>
    </w:tbl>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$30.5 million, or 46.8% to $95.6 million compared to $65.1 million for the first quarter 2025.  The increase was primarily due to a $22.8 million rise in servicing expenses driven by increased collections, including $8.0 million in higher court costs from increased legal channel volume, and $7.4 million related to the Bluestem portfolio purchase and collection growth as well as $8.5 million in non-cash stock-based compensation expense</w:t>
            </w:r>
          </w:p>
        </w:tc>
      </w:tr>
    </w:tbl>
    <w:p>
      <w:pPr>
        <w:pStyle w:val="TextBody"/>
        <w:bidi w:val="0"/>
        <w:spacing w:lineRule="auto" w:line="331" w:before="0" w:after="160"/>
        <w:ind w:left="274"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first quarter 2026, the Company recognized portfolio revenue of $15.3 million and net operating income of $7.9 million related to the Bluestem portfolio purchase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4"/>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Leverage Ratio, Liquidity and Capital Resources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ratio* improved to 1.79x at March 31, 2026 compared to 2.17x at March 31, 2025 as a result of strong growth in portfolio cashflow</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22, 2026 Jefferson Capital completed an upsize of its Revolving Credit Facility (“RCF”) increasing aggregate commitments to $1.15 billion. </w:t>
            </w:r>
          </w:p>
        </w:tc>
      </w:tr>
    </w:tbl>
    <w:tbl>
      <w:tblPr>
        <w:tblW w:w="6130" w:type="dxa"/>
        <w:jc w:val="left"/>
        <w:tblInd w:w="0" w:type="dxa"/>
        <w:tblLayout w:type="fixed"/>
        <w:tblCellMar>
          <w:top w:w="0" w:type="dxa"/>
          <w:left w:w="0" w:type="dxa"/>
          <w:bottom w:w="0" w:type="dxa"/>
          <w:right w:w="0" w:type="dxa"/>
        </w:tblCellMar>
      </w:tblPr>
      <w:tblGrid>
        <w:gridCol w:w="170"/>
        <w:gridCol w:w="5960"/>
      </w:tblGrid>
      <w:tr>
        <w:trPr/>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the Company had $254 million drawn under the RCF</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$300 million 2026 maturity was pre-funded with a $500 million unsecured debt offering in May 2025, which paid down the RCF. The Company has segregated $300 million of RCF capacity to repay the $300 million maturity </w:t>
            </w:r>
          </w:p>
        </w:tc>
      </w:tr>
    </w:tbl>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Dividend</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Board of Directors declared a quarterly cash dividend of $0.24 per share on its outstanding common stock, payable on June 4, 2026, to shareholders of record as of the close of business on May 26, 2026.</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On April 22, 2026, the Company entered into an amendment to its Credit Agreement dated May 21, 2021 (“The Amendment”). The Amendment increased the aggregate revolving credit commitments under the Credit Agreement by $150 million bringing the total to $1.150 billion. In addition, the Amendment increased the maximum cap on the aggregate amount to which the revolving credit commitments may be increased in the future pursuant to the incremental provisions of the Credit Agreement to $1.425 billion, allowing for future increases of up to an aggregate of $275 million. Except as described above, the Amendment did not include any other material changes.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*Leverage Ratio, Adjusted Pre-Tax Income, Adjusted Net Income and Adjusted EPS are non-GAAP financial measures. For a reconciliation of historical Leverage, Adjusted Pre-Tax Income and Adjusted Net Income, to the most directly comparable U.S. GAAP financial measures, please refer to the “Non-GAAP Financial Measures” section of this press-release.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Webcast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 webcast to discuss the Company’s first quarter 2026 financial results is scheduled for today, May 14, 2026 at 5:00 p.m. ET. The live webcast and archived replay can be accessed in the investor relations section of the Company's website at https://investors.jcap.com/news-events/events.</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Use of Non-GAAP Financial Measures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This press release contains references to non-GAAP financial measures, including Leverage, Adjusted Pre-Tax Income, Adjusted Net Income, and Adjusted EPS, which are financial measures that are not prepared in conformity with United States generally accepted accounting principles (U.S. GAAP). These non-GAAP measures are used by management as a supplemental measure, have certain limitations, and should not be construed as alternatives to financial measures determined in accordance with GAAP. Our management believes Leverage, Adjusted Pre-Tax Income, Adjusted Net Income and Adjusted EPS help us provide enhanced period-to-period comparability of operations and financial performance and are useful to investors as other companies in our industry report similar financial measures. The non-GAAP measures as defined by us may not be comparable to similar non-GAAP financial measures presented by other companies, which could limit such measures’ usefulness as comparative measures. Our presentation of such measures, which may include adjustments to exclude unusual or non-recurring items, should not be construed as an inference that our future results will be unaffected by other unusual or non-recurring items. Detailed reconciliations of non-GAAP financial measures to the most directly comparable GAAP financial measures are included in the financial tables following this release.</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About Jefferson Capital, Inc.</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Founded in 2002, Jefferson Capital is an analytically driven purchaser and manager of charged-off, insolvency and active consumer accounts with operations in the United States, Canada, the United Kingdom and Latin America. It purchases and services both secured and unsecured assets, and its growing client base includes Fortune 500 creditors, banks, fintech origination platforms, telecommunications providers, credit card issuers and auto finance companies. Jefferson Capital is headquartered in Minneapolis, Minnesota with additional offices and operations located in Sartell,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5"/>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Minnesota, Denver, Colorado and San Antonio, Texas (United States); Basingstoke, England; London, England and Paisley, Scotland (United Kingdom); London, Ontario and Toronto, Ontario (Canada); as well as Bogota (Colombia).</w:t>
      </w:r>
    </w:p>
    <w:p>
      <w:pPr>
        <w:pStyle w:val="TextBody"/>
        <w:bidi w:val="0"/>
        <w:spacing w:lineRule="auto" w:line="285" w:before="0" w:after="24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Contacts: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Investor Relations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IR@jcap.com </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Media Relations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Doug.Donsky@icrinc.com</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Disclosure Regarding Forward Looking Statements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This press release may contain “forward-looking statements” within the meaning of Section 21E of the Securities Exchange Act of 1934, as amended, and in the U.S. Private Securities Litigation Reform Act of 1995. All statements contained in this press release that do not relate to matters of historical fact should be considered forward-looking statements, including without limitation statements concerning our anticipated financial performance, execution of our business strategies and strength of our business model, the favorability of the investment environment, and our ability to continue paying quarterly cash dividends.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a deterioration in the economic or inflationary environment in the United States, Canada, the United Kingdom or Latin America, including the interest rate environment; our ability to replace our portfolios of nonperforming loans with additional portfolios sufficient to operate efficiently and profitably; our ability to collect sufficient amounts on our nonperforming loans to fund our operations; the possibility that third parties we rely on to conduct collection and other activities fail to perform their services; the possibility that we could recognize significant decreases in our estimate of future recoveries on nonperforming loans; changes in, or interpretations of, federal, state, local, or international laws, including bankruptcy and collection laws, or changes in the administrative practices of various bankruptcy courts, which could negatively impact our business or our ability to collect on nonperforming loans; goodwill impairment charges that could negatively impact our net income and stockholders’ equity; our ability to comply with existing and new regulations of the collection industry, the failure of which could result in penalties, fines, litigation, damage to our reputation, or the suspension or termination of or required modification to our ability to conduct our business; adverse outcomes in pending or future litigation or administrative proceedings; the possibility that class action suits and other litigation could divert management’s attention and increase our expenses; investigations, reviews, or enforcement actions by governmental authorities, including the Consumer Financial Protection Bureau, which could result in changes to our business practices, negatively impact our deployment volume, make collection of account balances more difficult, or expose us to the risk of fines, penalties, restitution payments, and litigation; the possibility that compliance with complex and evolving international and United States laws and regulations that apply to our international operations could increase our cost of doing business in international jurisdictions; our ability to comply with data privacy regulations such as the General Data Protection Regulation; our ability to retain, expand, renegotiate or replace our credit facility and our ability to comply with the covenants under our financing arrangements; our ability to refinance our indebtedness; our ability to service our outstanding indebtedness; changes in interest or exchange rates, which could reduce our net income, and the possibility that future hedging strategies may not be successful; and the possibility that we could incur business or technology disruptions or cybersecurity incidents. These and other important factors discussed under the caption “Risk Factors” in our Annual Report on Form 10-K for the year ended December 31, 2025 filed with the SEC, and our other filings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FINANCIAL TABLES FOLLOW</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 descr=""/>
                    <pic:cNvPicPr>
                      <a:picLocks noChangeAspect="1" noChangeArrowheads="1"/>
                    </pic:cNvPicPr>
                  </pic:nvPicPr>
                  <pic:blipFill>
                    <a:blip r:embed="rId6"/>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Jefferson Capital, Inc. </w:t>
      </w:r>
    </w:p>
    <w:p>
      <w:pPr>
        <w:pStyle w:val="TextBody"/>
        <w:bidi w:val="0"/>
        <w:spacing w:lineRule="auto" w:line="285" w:before="0" w:after="0"/>
        <w:ind w:left="0" w:right="0" w:hanging="0"/>
        <w:jc w:val="center"/>
        <w:rPr>
          <w:rFonts w:ascii="Aptos" w:hAnsi="Aptos"/>
          <w:sz w:val="20"/>
        </w:rPr>
      </w:pPr>
      <w:r>
        <w:rPr>
          <w:rFonts w:ascii="Times New Roman;Times;serif" w:hAnsi="Times New Roman;Times;serif"/>
          <w:i/>
          <w:sz w:val="20"/>
        </w:rPr>
        <w:t>Combined and Condensed Consolidated Balance Sheets</w:t>
      </w:r>
      <w:bookmarkStart w:id="15" w:name="ConsolidatedBalanceSheets_981238"/>
      <w:bookmarkEnd w:id="15"/>
      <w:r>
        <w:rPr>
          <w:rFonts w:ascii="Aptos" w:hAnsi="Aptos"/>
          <w:sz w:val="20"/>
        </w:rPr>
        <w:t xml:space="preserve"> </w:t>
      </w:r>
    </w:p>
    <w:p>
      <w:pPr>
        <w:pStyle w:val="TextBody"/>
        <w:bidi w:val="0"/>
        <w:spacing w:lineRule="auto" w:line="285" w:before="0" w:after="240"/>
        <w:ind w:left="0" w:right="0" w:hanging="0"/>
        <w:jc w:val="center"/>
        <w:rPr>
          <w:rFonts w:ascii="Times New Roman;Times;serif" w:hAnsi="Times New Roman;Times;serif"/>
          <w:i/>
          <w:sz w:val="20"/>
        </w:rPr>
      </w:pPr>
      <w:r>
        <w:rPr>
          <w:rFonts w:ascii="Times New Roman;Times;serif" w:hAnsi="Times New Roman;Times;serif"/>
          <w:i/>
          <w:sz w:val="20"/>
        </w:rPr>
        <w:t>(Unaudited, Amounts in Thousands)</w:t>
      </w:r>
    </w:p>
    <w:tbl>
      <w:tblPr>
        <w:tblW w:w="10205" w:type="dxa"/>
        <w:jc w:val="left"/>
        <w:tblInd w:w="0" w:type="dxa"/>
        <w:tblLayout w:type="fixed"/>
        <w:tblCellMar>
          <w:top w:w="0" w:type="dxa"/>
          <w:left w:w="0" w:type="dxa"/>
          <w:bottom w:w="0" w:type="dxa"/>
          <w:right w:w="0" w:type="dxa"/>
        </w:tblCellMar>
      </w:tblPr>
      <w:tblGrid>
        <w:gridCol w:w="6656"/>
        <w:gridCol w:w="346"/>
        <w:gridCol w:w="221"/>
        <w:gridCol w:w="975"/>
        <w:gridCol w:w="346"/>
        <w:gridCol w:w="234"/>
        <w:gridCol w:w="1034"/>
        <w:gridCol w:w="393"/>
      </w:tblGrid>
      <w:tr>
        <w:trPr/>
        <w:tc>
          <w:tcPr>
            <w:tcW w:w="6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5"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0335" cy="175260"/>
                      <wp:effectExtent l="0" t="0" r="0" b="0"/>
                      <wp:wrapNone/>
                      <wp:docPr id="46" name="Frame4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19125" cy="175260"/>
                      <wp:effectExtent l="0" t="0" r="0" b="0"/>
                      <wp:wrapNone/>
                      <wp:docPr id="47" name="Frame42"/>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8"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8590" cy="175260"/>
                      <wp:effectExtent l="0" t="0" r="0" b="0"/>
                      <wp:wrapNone/>
                      <wp:docPr id="49" name="Frame4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6590" cy="175260"/>
                      <wp:effectExtent l="0" t="0" r="0" b="0"/>
                      <wp:wrapNone/>
                      <wp:docPr id="50" name="Frame45"/>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49555" cy="175260"/>
                      <wp:effectExtent l="0" t="0" r="0" b="0"/>
                      <wp:wrapNone/>
                      <wp:docPr id="51" name="Frame4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9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46" w:type="dxa"/>
            <w:tcBorders/>
            <w:vAlign w:val="center"/>
          </w:tcPr>
          <w:p>
            <w:pPr>
              <w:pStyle w:val="TableContents"/>
              <w:bidi w:val="0"/>
              <w:spacing w:lineRule="auto" w:line="285" w:before="0" w:after="0"/>
              <w:ind w:left="0" w:right="0" w:hanging="0"/>
              <w:jc w:val="left"/>
              <w:rPr/>
            </w:pPr>
            <w:r>
              <w:rPr/>
              <w:t>​</w:t>
            </w:r>
          </w:p>
        </w:tc>
        <w:tc>
          <w:tcPr>
            <w:tcW w:w="126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lineRule="auto" w:line="285" w:before="0" w:after="0"/>
              <w:ind w:left="0" w:right="0" w:hanging="0"/>
              <w:jc w:val="left"/>
              <w:rPr/>
            </w:pPr>
            <w:r>
              <w:rPr/>
              <w:t>  ​ ​ ​</w:t>
            </w:r>
          </w:p>
        </w:tc>
        <w:tc>
          <w:tcPr>
            <w:tcW w:w="126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93" w:type="dxa"/>
            <w:tcBorders/>
            <w:vAlign w:val="center"/>
          </w:tcPr>
          <w:p>
            <w:pPr>
              <w:pStyle w:val="TableContents"/>
              <w:bidi w:val="0"/>
              <w:spacing w:lineRule="auto" w:line="285" w:before="0" w:after="0"/>
              <w:ind w:left="0" w:right="0" w:hanging="0"/>
              <w:jc w:val="left"/>
              <w:rPr/>
            </w:pPr>
            <w:r>
              <w:rPr/>
              <w:t>  ​ ​ ​</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23,231</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19,359</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24,320</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12,245</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13,915</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16,273</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Investments in receivables,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1,929,069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1,928,742</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 card receivables (net of allowance for</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15,130</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16,312</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losses of </w:t>
            </w:r>
            <w:r>
              <w:rPr>
                <w:rFonts w:ascii="Times New Roman;Times;serif" w:hAnsi="Times New Roman;Times;serif"/>
                <w:b/>
                <w:sz w:val="20"/>
              </w:rPr>
              <w:t>$</w:t>
            </w:r>
            <w:r>
              <w:rPr>
                <w:rFonts w:ascii="Times New Roman;Times;serif" w:hAnsi="Times New Roman;Times;serif"/>
                <w:sz w:val="20"/>
              </w:rPr>
              <w:t>1,663 and $1,784)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1,490</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6,541</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57,915</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58,014</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Assets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2,084,105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2,087,373</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Liabilities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89,899</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95,208</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tax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113,186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101,957</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net</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1,433,321</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1,409,039</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1,641,230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1,611,238</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$0.0001 per share; 330,000,000 shares authorized as of March 31, 2026 and December 31, 2025 and 55,371,991 and 58,298,923 shares issued and outstanding as of March 31, 2026 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9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(49,549)</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486,548</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522,632</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3,046</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442,875</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476,135</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6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2,084,105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2,087,373</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5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6" descr=""/>
                    <pic:cNvPicPr>
                      <a:picLocks noChangeAspect="1" noChangeArrowheads="1"/>
                    </pic:cNvPicPr>
                  </pic:nvPicPr>
                  <pic:blipFill>
                    <a:blip r:embed="rId7"/>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Combined and Condensed Consolidated Statements of Operations and Comprehensive Income</w:t>
      </w:r>
      <w:bookmarkStart w:id="16" w:name="ConsolidatedStatementsofOperationsandCom"/>
      <w:bookmarkEnd w:id="16"/>
    </w:p>
    <w:p>
      <w:pPr>
        <w:pStyle w:val="TextBody"/>
        <w:bidi w:val="0"/>
        <w:spacing w:lineRule="auto" w:line="285" w:before="0" w:after="240"/>
        <w:ind w:left="0" w:right="0" w:hanging="0"/>
        <w:jc w:val="center"/>
        <w:rPr>
          <w:rFonts w:ascii="Times New Roman;Times;serif" w:hAnsi="Times New Roman;Times;serif"/>
          <w:i/>
          <w:sz w:val="20"/>
        </w:rPr>
      </w:pPr>
      <w:r>
        <w:rPr>
          <w:rFonts w:ascii="Times New Roman;Times;serif" w:hAnsi="Times New Roman;Times;serif"/>
          <w:i/>
          <w:sz w:val="20"/>
        </w:rPr>
        <w:t>(Unaudited in Thousands, except Per Share amounts)</w:t>
      </w:r>
    </w:p>
    <w:tbl>
      <w:tblPr>
        <w:tblW w:w="7666" w:type="dxa"/>
        <w:jc w:val="left"/>
        <w:tblInd w:w="0" w:type="dxa"/>
        <w:tblLayout w:type="fixed"/>
        <w:tblCellMar>
          <w:top w:w="0" w:type="dxa"/>
          <w:left w:w="0" w:type="dxa"/>
          <w:bottom w:w="0" w:type="dxa"/>
          <w:right w:w="0" w:type="dxa"/>
        </w:tblCellMar>
      </w:tblPr>
      <w:tblGrid>
        <w:gridCol w:w="3901"/>
        <w:gridCol w:w="346"/>
        <w:gridCol w:w="270"/>
        <w:gridCol w:w="1022"/>
        <w:gridCol w:w="444"/>
        <w:gridCol w:w="270"/>
        <w:gridCol w:w="1022"/>
        <w:gridCol w:w="391"/>
      </w:tblGrid>
      <w:tr>
        <w:trPr/>
        <w:tc>
          <w:tcPr>
            <w:tcW w:w="39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3"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71450" cy="175260"/>
                      <wp:effectExtent l="0" t="0" r="0" b="0"/>
                      <wp:wrapNone/>
                      <wp:docPr id="54" name="Frame4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970" cy="175260"/>
                      <wp:effectExtent l="0" t="0" r="0" b="0"/>
                      <wp:wrapNone/>
                      <wp:docPr id="55" name="Frame49"/>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81940" cy="175260"/>
                      <wp:effectExtent l="0" t="0" r="0" b="0"/>
                      <wp:wrapNone/>
                      <wp:docPr id="56" name="Frame50"/>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1450" cy="175260"/>
                      <wp:effectExtent l="0" t="0" r="0" b="0"/>
                      <wp:wrapNone/>
                      <wp:docPr id="57" name="Frame5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970" cy="175260"/>
                      <wp:effectExtent l="0" t="0" r="0" b="0"/>
                      <wp:wrapNone/>
                      <wp:docPr id="58" name="Frame52"/>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48285" cy="175260"/>
                      <wp:effectExtent l="0" t="0" r="0" b="0"/>
                      <wp:wrapNone/>
                      <wp:docPr id="59" name="Frame5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2758" w:type="dxa"/>
            <w:gridSpan w:val="4"/>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2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4" w:type="dxa"/>
            <w:tcBorders/>
            <w:vAlign w:val="center"/>
          </w:tcPr>
          <w:p>
            <w:pPr>
              <w:pStyle w:val="TableContents"/>
              <w:bidi w:val="0"/>
              <w:spacing w:lineRule="auto" w:line="285"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portfolio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157,606</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138,693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recoveries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7,057</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164,663</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142,314</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1,735</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10,041</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10,731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176,439</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154,943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22,375</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65,578</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42,791</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2,281</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4,524</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4,549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95,630</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65,135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80,185</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89,266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pPr>
            <w:r>
              <w:rPr/>
              <w:t>​</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(30,578)</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(24,819)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1,449</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(29,129)</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(22,360)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51,056</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66,906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(13,422)</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37,634</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64,227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 / (loss)</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(5,701)</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3,884</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31,933</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68,111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left"/>
              <w:rPr/>
            </w:pPr>
            <w:r>
              <w:rPr/>
              <w:t>​</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lef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left"/>
              <w:rPr/>
            </w:pPr>
            <w:r>
              <w:rPr/>
              <w:t>​</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lef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2"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55,589</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9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55,592</w:t>
            </w:r>
          </w:p>
        </w:tc>
        <w:tc>
          <w:tcPr>
            <w:tcW w:w="444"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90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left"/>
              <w:rPr/>
            </w:pPr>
            <w:r>
              <w:rPr/>
              <w:t>​</w:t>
            </w:r>
          </w:p>
        </w:tc>
        <w:tc>
          <w:tcPr>
            <w:tcW w:w="444"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lef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7" descr=""/>
                    <pic:cNvPicPr>
                      <a:picLocks noChangeAspect="1" noChangeArrowheads="1"/>
                    </pic:cNvPicPr>
                  </pic:nvPicPr>
                  <pic:blipFill>
                    <a:blip r:embed="rId8"/>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Combined and Condensed Consolidated Statements of Cash Flows</w:t>
      </w:r>
      <w:bookmarkStart w:id="17" w:name="ConsolidatedStatementsofCashFlows_196015"/>
      <w:bookmarkEnd w:id="17"/>
    </w:p>
    <w:p>
      <w:pPr>
        <w:pStyle w:val="TextBody"/>
        <w:bidi w:val="0"/>
        <w:spacing w:lineRule="auto" w:line="285" w:before="0" w:after="240"/>
        <w:ind w:left="0" w:right="0" w:hanging="0"/>
        <w:jc w:val="center"/>
        <w:rPr>
          <w:rFonts w:ascii="Aptos" w:hAnsi="Aptos"/>
          <w:sz w:val="20"/>
        </w:rPr>
      </w:pPr>
      <w:r>
        <w:rPr>
          <w:rFonts w:ascii="Times New Roman;Times;serif" w:hAnsi="Times New Roman;Times;serif"/>
          <w:sz w:val="20"/>
        </w:rPr>
        <w:t>(</w:t>
      </w:r>
      <w:r>
        <w:rPr>
          <w:rFonts w:ascii="Times New Roman;Times;serif" w:hAnsi="Times New Roman;Times;serif"/>
          <w:i/>
          <w:sz w:val="20"/>
        </w:rPr>
        <w:t>Unaudited, in Thousands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6590"/>
        <w:gridCol w:w="346"/>
        <w:gridCol w:w="238"/>
        <w:gridCol w:w="1004"/>
        <w:gridCol w:w="391"/>
        <w:gridCol w:w="238"/>
        <w:gridCol w:w="1004"/>
        <w:gridCol w:w="394"/>
      </w:tblGrid>
      <w:tr>
        <w:trPr/>
        <w:tc>
          <w:tcPr>
            <w:tcW w:w="659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1"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51130" cy="175260"/>
                      <wp:effectExtent l="0" t="0" r="0" b="0"/>
                      <wp:wrapNone/>
                      <wp:docPr id="62" name="Frame5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37540" cy="175260"/>
                      <wp:effectExtent l="0" t="0" r="0" b="0"/>
                      <wp:wrapNone/>
                      <wp:docPr id="63" name="Frame5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48285" cy="175260"/>
                      <wp:effectExtent l="0" t="0" r="0" b="0"/>
                      <wp:wrapNone/>
                      <wp:docPr id="64" name="Frame5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1130" cy="175260"/>
                      <wp:effectExtent l="0" t="0" r="0" b="0"/>
                      <wp:wrapNone/>
                      <wp:docPr id="65" name="Frame5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37540" cy="175260"/>
                      <wp:effectExtent l="0" t="0" r="0" b="0"/>
                      <wp:wrapNone/>
                      <wp:docPr id="66" name="Frame59"/>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0190" cy="175260"/>
                      <wp:effectExtent l="0" t="0" r="0" b="0"/>
                      <wp:wrapNone/>
                      <wp:docPr id="67" name="Frame60"/>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59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5" w:type="dxa"/>
            <w:gridSpan w:val="5"/>
            <w:tcBorders/>
            <w:vAlign w:val="center"/>
          </w:tcPr>
          <w:p>
            <w:pPr>
              <w:pStyle w:val="TableContents"/>
              <w:bidi w:val="0"/>
              <w:spacing w:lineRule="auto" w:line="285" w:before="0" w:after="0"/>
              <w:ind w:left="0" w:right="0" w:hanging="0"/>
              <w:jc w:val="center"/>
              <w:rPr/>
            </w:pPr>
            <w:r>
              <w:rPr/>
              <w:t>​</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91" w:type="dxa"/>
            <w:tcBorders/>
            <w:vAlign w:val="center"/>
          </w:tcPr>
          <w:p>
            <w:pPr>
              <w:pStyle w:val="TableContents"/>
              <w:bidi w:val="0"/>
              <w:spacing w:lineRule="auto" w:line="285" w:before="0" w:after="0"/>
              <w:ind w:left="0" w:right="0" w:hanging="0"/>
              <w:jc w:val="left"/>
              <w:rPr/>
            </w:pPr>
            <w:r>
              <w:rPr/>
              <w:t>  ​ ​ ​</w:t>
            </w:r>
          </w:p>
        </w:tc>
        <w:tc>
          <w:tcPr>
            <w:tcW w:w="12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94" w:type="dxa"/>
            <w:tcBorders/>
            <w:vAlign w:val="center"/>
          </w:tcPr>
          <w:p>
            <w:pPr>
              <w:pStyle w:val="TableContents"/>
              <w:bidi w:val="0"/>
              <w:spacing w:lineRule="auto" w:line="285" w:before="0" w:after="0"/>
              <w:ind w:left="0" w:right="0" w:hanging="0"/>
              <w:jc w:val="left"/>
              <w:rPr/>
            </w:pPr>
            <w:r>
              <w:rPr/>
              <w:t>  ​ ​ ​</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37,634</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64,227</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and cash equivalents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1,608</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1,643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1,120</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8,525</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income tax</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11,309</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(1,484)</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(6,557)</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(20,189)</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(8,108)</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39,640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51,680</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receivables,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(149,705)</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(175,222)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credit card receivables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(5,466)</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(6,123)</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Collections applied to investments in receivables,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145,235</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118,502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Collections applied to credit card receivables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5,912</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6,752</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(56,234)</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flow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notes payable</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313,148</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174,790</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 on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(290,243)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(159,251)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debt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(58,912)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Dividends paid to stockholders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(16,000)</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(36,007)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Exchange rate effects on cash balances held in foreign currencies</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100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 and restricted cash</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10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(7,836)</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59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47,551</w:t>
            </w:r>
          </w:p>
        </w:tc>
        <w:tc>
          <w:tcPr>
            <w:tcW w:w="391" w:type="dxa"/>
            <w:tcBorders/>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38,243</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59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45,608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30,407</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6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8" descr=""/>
                    <pic:cNvPicPr>
                      <a:picLocks noChangeAspect="1" noChangeArrowheads="1"/>
                    </pic:cNvPicPr>
                  </pic:nvPicPr>
                  <pic:blipFill>
                    <a:blip r:embed="rId9"/>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Supplemental Financial Information</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Reconciliation of Non-GAAP Metrics</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Efficiency Ratio</w:t>
      </w:r>
    </w:p>
    <w:tbl>
      <w:tblPr>
        <w:tblW w:w="7583" w:type="dxa"/>
        <w:jc w:val="left"/>
        <w:tblInd w:w="0" w:type="dxa"/>
        <w:tblLayout w:type="fixed"/>
        <w:tblCellMar>
          <w:top w:w="0" w:type="dxa"/>
          <w:left w:w="0" w:type="dxa"/>
          <w:bottom w:w="0" w:type="dxa"/>
          <w:right w:w="0" w:type="dxa"/>
        </w:tblCellMar>
      </w:tblPr>
      <w:tblGrid>
        <w:gridCol w:w="4936"/>
        <w:gridCol w:w="346"/>
        <w:gridCol w:w="211"/>
        <w:gridCol w:w="571"/>
        <w:gridCol w:w="391"/>
        <w:gridCol w:w="211"/>
        <w:gridCol w:w="571"/>
        <w:gridCol w:w="34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134360" cy="175260"/>
                      <wp:effectExtent l="0" t="0" r="0" b="0"/>
                      <wp:wrapNone/>
                      <wp:docPr id="69" name="Frame61"/>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0"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1"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260"/>
                      <wp:effectExtent l="0" t="0" r="0" b="0"/>
                      <wp:wrapNone/>
                      <wp:docPr id="72" name="Frame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8285" cy="175260"/>
                      <wp:effectExtent l="0" t="0" r="0" b="0"/>
                      <wp:wrapNone/>
                      <wp:docPr id="73" name="Frame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4"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2585" cy="175260"/>
                      <wp:effectExtent l="0" t="0" r="0" b="0"/>
                      <wp:wrapNone/>
                      <wp:docPr id="75" name="Frame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6"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9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9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Receipts (A)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321.7</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273.5</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49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95.6</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65.1</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Operating Expenses (B)</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86.9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Efficiency Ratio (A-B) / 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73.0</w:t>
            </w:r>
          </w:p>
        </w:tc>
        <w:tc>
          <w:tcPr>
            <w:tcW w:w="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76.6</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Adjusted Pre-tax Income</w:t>
      </w:r>
    </w:p>
    <w:p>
      <w:pPr>
        <w:pStyle w:val="TextBody"/>
        <w:bidi w:val="0"/>
        <w:spacing w:lineRule="auto" w:line="285" w:before="0" w:after="0"/>
        <w:ind w:left="0" w:right="0" w:hanging="0"/>
        <w:jc w:val="left"/>
        <w:rPr/>
      </w:pPr>
      <w:r>
        <w:rPr/>
        <w:t>​</w:t>
      </w:r>
    </w:p>
    <w:tbl>
      <w:tblPr>
        <w:tblW w:w="7102" w:type="dxa"/>
        <w:jc w:val="left"/>
        <w:tblInd w:w="0" w:type="dxa"/>
        <w:tblLayout w:type="fixed"/>
        <w:tblCellMar>
          <w:top w:w="0" w:type="dxa"/>
          <w:left w:w="0" w:type="dxa"/>
          <w:bottom w:w="0" w:type="dxa"/>
          <w:right w:w="0" w:type="dxa"/>
        </w:tblCellMar>
      </w:tblPr>
      <w:tblGrid>
        <w:gridCol w:w="4936"/>
        <w:gridCol w:w="346"/>
        <w:gridCol w:w="211"/>
        <w:gridCol w:w="481"/>
        <w:gridCol w:w="346"/>
        <w:gridCol w:w="211"/>
        <w:gridCol w:w="571"/>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134360" cy="175260"/>
                      <wp:effectExtent l="0" t="0" r="0" b="0"/>
                      <wp:wrapNone/>
                      <wp:docPr id="77" name="Frame69"/>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8"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9"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05435" cy="175260"/>
                      <wp:effectExtent l="0" t="0" r="0" b="0"/>
                      <wp:wrapNone/>
                      <wp:docPr id="80" name="Frame7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2"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2585" cy="175260"/>
                      <wp:effectExtent l="0" t="0" r="0" b="0"/>
                      <wp:wrapNone/>
                      <wp:docPr id="83" name="Frame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8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Pre-tax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66.9</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Pre-tax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b/>
                <w:sz w:val="20"/>
              </w:rPr>
            </w:pPr>
            <w:r>
              <w:rPr>
                <w:rFonts w:ascii="Times New Roman;Times;serif" w:hAnsi="Times New Roman;Times;serif"/>
                <w:b/>
                <w:sz w:val="20"/>
              </w:rPr>
              <w:t>65.7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8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9" descr=""/>
                    <pic:cNvPicPr>
                      <a:picLocks noChangeAspect="1" noChangeArrowheads="1"/>
                    </pic:cNvPicPr>
                  </pic:nvPicPr>
                  <pic:blipFill>
                    <a:blip r:embed="rId10"/>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Supplemental Financial Information</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Reconciliation of Non-GAAP Metrics (Continued)</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Adjusted Net Income and Adjusted EPS</w:t>
      </w:r>
    </w:p>
    <w:tbl>
      <w:tblPr>
        <w:tblW w:w="10114" w:type="dxa"/>
        <w:jc w:val="left"/>
        <w:tblInd w:w="0" w:type="dxa"/>
        <w:tblLayout w:type="fixed"/>
        <w:tblCellMar>
          <w:top w:w="0" w:type="dxa"/>
          <w:left w:w="0" w:type="dxa"/>
          <w:bottom w:w="0" w:type="dxa"/>
          <w:right w:w="0" w:type="dxa"/>
        </w:tblCellMar>
      </w:tblPr>
      <w:tblGrid>
        <w:gridCol w:w="5581"/>
        <w:gridCol w:w="346"/>
        <w:gridCol w:w="211"/>
        <w:gridCol w:w="481"/>
        <w:gridCol w:w="346"/>
        <w:gridCol w:w="211"/>
        <w:gridCol w:w="481"/>
        <w:gridCol w:w="109"/>
        <w:gridCol w:w="211"/>
        <w:gridCol w:w="871"/>
        <w:gridCol w:w="109"/>
        <w:gridCol w:w="721"/>
        <w:gridCol w:w="436"/>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543935" cy="175260"/>
                      <wp:effectExtent l="0" t="0" r="0" b="0"/>
                      <wp:wrapNone/>
                      <wp:docPr id="85" name="Frame76"/>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05435" cy="175260"/>
                      <wp:effectExtent l="0" t="0" r="0" b="0"/>
                      <wp:wrapNone/>
                      <wp:docPr id="88" name="Frame7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05435" cy="175260"/>
                      <wp:effectExtent l="0" t="0" r="0" b="0"/>
                      <wp:wrapNone/>
                      <wp:docPr id="91" name="Frame8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53085" cy="175260"/>
                      <wp:effectExtent l="0" t="0" r="0" b="0"/>
                      <wp:wrapNone/>
                      <wp:docPr id="94" name="Frame8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57835" cy="175260"/>
                      <wp:effectExtent l="0" t="0" r="0" b="0"/>
                      <wp:wrapNone/>
                      <wp:docPr id="96" name="Frame8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76860" cy="175260"/>
                      <wp:effectExtent l="0" t="0" r="0" b="0"/>
                      <wp:wrapNone/>
                      <wp:docPr id="97" name="Frame8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7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 </w:t>
            </w:r>
          </w:p>
        </w:tc>
        <w:tc>
          <w:tcPr>
            <w:tcW w:w="87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109" w:type="dxa"/>
            <w:tcBorders/>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36" w:type="dxa"/>
            <w:tcBorders/>
            <w:vAlign w:val="center"/>
          </w:tcPr>
          <w:p>
            <w:pPr>
              <w:pStyle w:val="TableContents"/>
              <w:bidi w:val="0"/>
              <w:spacing w:lineRule="auto" w:line="285" w:before="0" w:after="0"/>
              <w:ind w:left="0" w:right="0" w:hanging="0"/>
              <w:jc w:val="center"/>
              <w:rPr/>
            </w:pPr>
            <w:r>
              <w:rPr/>
              <w:t>​</w:t>
            </w:r>
          </w:p>
        </w:tc>
      </w:tr>
      <w:tr>
        <w:trPr/>
        <w:tc>
          <w:tcPr>
            <w:tcW w:w="5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7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109" w:type="dxa"/>
            <w:tcBorders/>
            <w:vAlign w:val="center"/>
          </w:tcPr>
          <w:p>
            <w:pPr>
              <w:pStyle w:val="TableContents"/>
              <w:bidi w:val="0"/>
              <w:spacing w:lineRule="auto" w:line="285"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36" w:type="dxa"/>
            <w:tcBorders/>
            <w:vAlign w:val="center"/>
          </w:tcPr>
          <w:p>
            <w:pPr>
              <w:pStyle w:val="TableContents"/>
              <w:bidi w:val="0"/>
              <w:spacing w:lineRule="auto" w:line="285" w:before="0" w:after="0"/>
              <w:ind w:left="0" w:right="0" w:hanging="0"/>
              <w:jc w:val="center"/>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Adjusted EPS amounts)</w:t>
            </w:r>
          </w:p>
        </w:tc>
        <w:tc>
          <w:tcPr>
            <w:tcW w:w="346" w:type="dxa"/>
            <w:tcBorders/>
            <w:vAlign w:val="center"/>
          </w:tcPr>
          <w:p>
            <w:pPr>
              <w:pStyle w:val="TableContents"/>
              <w:bidi w:val="0"/>
              <w:spacing w:lineRule="auto" w:line="285"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 </w:t>
            </w:r>
          </w:p>
        </w:tc>
        <w:tc>
          <w:tcPr>
            <w:tcW w:w="87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436" w:type="dxa"/>
            <w:tcBorders/>
            <w:vAlign w:val="center"/>
          </w:tcPr>
          <w:p>
            <w:pPr>
              <w:pStyle w:val="TableContents"/>
              <w:bidi w:val="0"/>
              <w:spacing w:lineRule="auto" w:line="285" w:before="0" w:after="0"/>
              <w:ind w:left="0" w:right="0" w:hanging="0"/>
              <w:jc w:val="center"/>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64.2</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(26.6)</w:t>
            </w:r>
          </w:p>
        </w:tc>
        <w:tc>
          <w:tcPr>
            <w:tcW w:w="109"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(41.4)</w:t>
            </w:r>
          </w:p>
        </w:tc>
        <w:tc>
          <w:tcPr>
            <w:tcW w:w="4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2,025.0</w:t>
            </w:r>
          </w:p>
        </w:tc>
        <w:tc>
          <w:tcPr>
            <w:tcW w:w="4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44.9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62.9</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(18.1)</w:t>
            </w:r>
          </w:p>
        </w:tc>
        <w:tc>
          <w:tcPr>
            <w:tcW w:w="109" w:type="dxa"/>
            <w:tcBorders/>
            <w:vAlign w:val="center"/>
          </w:tcPr>
          <w:p>
            <w:pPr>
              <w:pStyle w:val="TableContents"/>
              <w:bidi w:val="0"/>
              <w:spacing w:lineRule="auto" w:line="285" w:before="0" w:after="0"/>
              <w:ind w:left="0" w:right="0" w:hanging="0"/>
              <w:jc w:val="righ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4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diluted common shares outstanding (in millions)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55.4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r>
      <w:tr>
        <w:trPr/>
        <w:tc>
          <w:tcPr>
            <w:tcW w:w="5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Expected vesting of non-vested restricted 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Adjusted weighted average diluted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61.6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r>
      <w:tr>
        <w:trPr/>
        <w:tc>
          <w:tcPr>
            <w:tcW w:w="55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EPS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0.73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  ​</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r>
      <w:tr>
        <w:trPr/>
        <w:tc>
          <w:tcPr>
            <w:tcW w:w="55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Leverage Ratio</w:t>
      </w:r>
    </w:p>
    <w:p>
      <w:pPr>
        <w:pStyle w:val="TextBody"/>
        <w:bidi w:val="0"/>
        <w:spacing w:lineRule="auto" w:line="285" w:before="0" w:after="0"/>
        <w:ind w:left="0" w:right="0" w:hanging="0"/>
        <w:jc w:val="left"/>
        <w:rPr/>
      </w:pPr>
      <w:r>
        <w:rPr/>
        <w:t>​</w:t>
      </w:r>
    </w:p>
    <w:tbl>
      <w:tblPr>
        <w:tblW w:w="7649" w:type="dxa"/>
        <w:jc w:val="left"/>
        <w:tblInd w:w="0" w:type="dxa"/>
        <w:tblLayout w:type="fixed"/>
        <w:tblCellMar>
          <w:top w:w="0" w:type="dxa"/>
          <w:left w:w="0" w:type="dxa"/>
          <w:bottom w:w="0" w:type="dxa"/>
          <w:right w:w="0" w:type="dxa"/>
        </w:tblCellMar>
      </w:tblPr>
      <w:tblGrid>
        <w:gridCol w:w="4936"/>
        <w:gridCol w:w="346"/>
        <w:gridCol w:w="251"/>
        <w:gridCol w:w="859"/>
        <w:gridCol w:w="129"/>
        <w:gridCol w:w="251"/>
        <w:gridCol w:w="877"/>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134360" cy="175260"/>
                      <wp:effectExtent l="0" t="0" r="0" b="0"/>
                      <wp:wrapNone/>
                      <wp:docPr id="98" name="Frame89"/>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9385" cy="175260"/>
                      <wp:effectExtent l="0" t="0" r="0" b="0"/>
                      <wp:wrapNone/>
                      <wp:docPr id="100" name="Frame9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45465" cy="175260"/>
                      <wp:effectExtent l="0" t="0" r="0" b="0"/>
                      <wp:wrapNone/>
                      <wp:docPr id="101" name="Frame92"/>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81915" cy="175260"/>
                      <wp:effectExtent l="0" t="0" r="0" b="0"/>
                      <wp:wrapNone/>
                      <wp:docPr id="102" name="Frame93"/>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9385" cy="175260"/>
                      <wp:effectExtent l="0" t="0" r="0" b="0"/>
                      <wp:wrapNone/>
                      <wp:docPr id="103" name="Frame9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56895" cy="175260"/>
                      <wp:effectExtent l="0" t="0" r="0" b="0"/>
                      <wp:wrapNone/>
                      <wp:docPr id="104" name="Frame95"/>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367"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Trailing Twelve Months Ended</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36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9" w:type="dxa"/>
            <w:tcBorders/>
            <w:vAlign w:val="center"/>
          </w:tcPr>
          <w:p>
            <w:pPr>
              <w:pStyle w:val="TableContents"/>
              <w:bidi w:val="0"/>
              <w:spacing w:lineRule="auto" w:line="285" w:before="0" w:after="0"/>
              <w:ind w:left="0" w:right="0" w:hanging="0"/>
              <w:jc w:val="center"/>
              <w:rPr/>
            </w:pPr>
            <w:r>
              <w:rPr/>
              <w:t>​</w:t>
            </w:r>
          </w:p>
        </w:tc>
        <w:tc>
          <w:tcPr>
            <w:tcW w:w="112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256.8</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184.5</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prepaid expenses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accounts payable and accrued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interest paid</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(588.7)</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(446.9)</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collections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1,047.7</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718.2</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Cash EBITDA (A)</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798.0</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b/>
                <w:sz w:val="20"/>
              </w:rPr>
            </w:pPr>
            <w:r>
              <w:rPr>
                <w:rFonts w:ascii="Times New Roman;Times;serif" w:hAnsi="Times New Roman;Times;serif"/>
                <w:b/>
                <w:sz w:val="20"/>
              </w:rPr>
              <w:t>551.7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4661" w:type="dxa"/>
        <w:jc w:val="left"/>
        <w:tblInd w:w="0" w:type="dxa"/>
        <w:tblLayout w:type="fixed"/>
        <w:tblCellMar>
          <w:top w:w="0" w:type="dxa"/>
          <w:left w:w="0" w:type="dxa"/>
          <w:bottom w:w="0" w:type="dxa"/>
          <w:right w:w="0" w:type="dxa"/>
        </w:tblCellMar>
      </w:tblPr>
      <w:tblGrid>
        <w:gridCol w:w="2221"/>
        <w:gridCol w:w="109"/>
        <w:gridCol w:w="211"/>
        <w:gridCol w:w="721"/>
        <w:gridCol w:w="211"/>
        <w:gridCol w:w="211"/>
        <w:gridCol w:w="721"/>
        <w:gridCol w:w="25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10335" cy="175260"/>
                      <wp:effectExtent l="0" t="0" r="0" b="0"/>
                      <wp:wrapNone/>
                      <wp:docPr id="105" name="Frame96"/>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57835" cy="175260"/>
                      <wp:effectExtent l="0" t="0" r="0" b="0"/>
                      <wp:wrapNone/>
                      <wp:docPr id="108" name="Frame9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57835" cy="175260"/>
                      <wp:effectExtent l="0" t="0" r="0" b="0"/>
                      <wp:wrapNone/>
                      <wp:docPr id="111" name="Frame10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2560" cy="175260"/>
                      <wp:effectExtent l="0" t="0" r="0" b="0"/>
                      <wp:wrapNone/>
                      <wp:docPr id="112" name="Frame10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7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11" w:type="dxa"/>
            <w:tcBorders/>
            <w:vAlign w:val="center"/>
          </w:tcPr>
          <w:p>
            <w:pPr>
              <w:pStyle w:val="TableContents"/>
              <w:bidi w:val="0"/>
              <w:spacing w:lineRule="auto" w:line="285"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Borrowings, as reported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1,433.3</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1,212.0</w:t>
            </w:r>
          </w:p>
        </w:tc>
        <w:tc>
          <w:tcPr>
            <w:tcW w:w="256" w:type="dxa"/>
            <w:tcBorders/>
            <w:shd w:fill="CCEEFF" w:val="clear"/>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Unamortized </w:t>
            </w:r>
            <w:r>
              <w:rPr>
                <w:rFonts w:ascii="Times New Roman;Times;serif" w:hAnsi="Times New Roman;Times;serif"/>
                <w:sz w:val="20"/>
              </w:rPr>
              <w:t>issuance costs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21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2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Unrestricted cash</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256" w:type="dxa"/>
            <w:tcBorders/>
            <w:shd w:fill="CCEEFF" w:val="clear"/>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Debt (B)</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1,428.0</w:t>
            </w:r>
          </w:p>
        </w:tc>
        <w:tc>
          <w:tcPr>
            <w:tcW w:w="211"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1,197.3</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22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Leverage Ratio (B / A)</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x</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x</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3561</Words>
  <Characters>20145</Characters>
  <CharactersWithSpaces>24423</CharactersWithSpaces>
  <Paragraphs>1947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