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167d1_8k.htm"/>
      <w:bookmarkStart w:id="1" w:name="kstm2623167d1_8k"/>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val="false"/>
          <w:i w:val="false"/>
          <w:caps w:val="false"/>
          <w:smallCaps w:val="false"/>
          <w:sz w:val="20"/>
        </w:rPr>
        <w:t> </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 xml:space="preserve">FORM </w:t>
      </w:r>
      <w:bookmarkStart w:id="2" w:name="xdx_907_edei--DocumentType_c20260818__20"/>
      <w:bookmarkEnd w:id="2"/>
      <w:r>
        <w:rPr>
          <w:rFonts w:ascii="Times New Roman;Times;Serif" w:hAnsi="Times New Roman;Times;Serif"/>
          <w:b/>
          <w:i w:val="false"/>
          <w:caps w:val="false"/>
          <w:smallCaps w:val="false"/>
          <w:sz w:val="36"/>
        </w:rPr>
        <w:t>8-K</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dxL_c"/>
      <w:bookmarkEnd w:id="4"/>
      <w:r>
        <w:rPr>
          <w:rFonts w:ascii="Times New Roman;Times;Serif" w:hAnsi="Times New Roman;Times;Serif"/>
          <w:b/>
          <w:i w:val="false"/>
          <w:caps w:val="false"/>
          <w:smallCaps w:val="false"/>
          <w:sz w:val="36"/>
        </w:rPr>
        <w:t>Jefferson Capital,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375"/>
        <w:gridCol w:w="3635"/>
        <w:gridCol w:w="1535"/>
      </w:tblGrid>
      <w:tr>
        <w:trPr/>
        <w:tc>
          <w:tcPr>
            <w:tcW w:w="237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5" w:name="xdx_90D_edei--EntityIncorporationStateCo"/>
            <w:bookmarkEnd w:id="5"/>
            <w:r>
              <w:rPr>
                <w:rFonts w:ascii="Times New Roman;Times;Serif" w:hAnsi="Times New Roman;Times;Serif"/>
                <w:b/>
                <w:i w:val="false"/>
                <w:caps/>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p>
            <w:pPr>
              <w:pStyle w:val="TableContents"/>
              <w:bidi w:val="0"/>
              <w:spacing w:before="0" w:after="0"/>
              <w:ind w:left="0" w:right="0" w:hanging="0"/>
              <w:jc w:val="center"/>
              <w:rPr>
                <w:caps w:val="false"/>
                <w:smallCaps w:val="false"/>
              </w:rPr>
            </w:pPr>
            <w:r>
              <w:rPr>
                <w:caps w:val="false"/>
                <w:smallCaps w:val="false"/>
              </w:rPr>
              <w:t> </w:t>
            </w:r>
          </w:p>
        </w:tc>
        <w:tc>
          <w:tcPr>
            <w:tcW w:w="36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5_edei--EntityFileNumber_c20260818"/>
            <w:bookmarkEnd w:id="6"/>
            <w:r>
              <w:rPr>
                <w:rFonts w:ascii="Times New Roman;Times;Serif" w:hAnsi="Times New Roman;Times;Serif"/>
                <w:b/>
                <w:i w:val="false"/>
                <w:caps w:val="false"/>
                <w:smallCaps w:val="false"/>
                <w:sz w:val="20"/>
              </w:rPr>
              <w:t>001-42718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33-1923926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2375"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600 SOUTH HIGHWAY 169, </w:t>
            </w:r>
            <w:bookmarkStart w:id="9" w:name="xdx_90B_edei--EntityAddressAddressLine2_"/>
            <w:bookmarkEnd w:id="9"/>
            <w:r>
              <w:rPr>
                <w:rFonts w:ascii="Times New Roman;Times;Serif" w:hAnsi="Times New Roman;Times;Serif"/>
                <w:b/>
                <w:i w:val="false"/>
                <w:caps w:val="false"/>
                <w:smallCaps w:val="false"/>
                <w:sz w:val="20"/>
              </w:rPr>
              <w:t>SUITE 1575,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MINNEAPOLIS, </w:t>
            </w:r>
            <w:bookmarkStart w:id="11" w:name="xdx_907_edei--EntityAddressStateOrProvin"/>
            <w:bookmarkEnd w:id="11"/>
            <w:r>
              <w:rPr>
                <w:rFonts w:ascii="Times New Roman;Times;Serif" w:hAnsi="Times New Roman;Times;Serif"/>
                <w:b/>
                <w:i w:val="false"/>
                <w:caps/>
                <w:sz w:val="20"/>
              </w:rPr>
              <w:t>Minnesota</w:t>
            </w:r>
            <w:r>
              <w:rPr>
                <w:rFonts w:ascii="Times New Roman;Times;Serif" w:hAnsi="Times New Roman;Times;Serif"/>
                <w:b/>
                <w:i w:val="false"/>
                <w:caps w:val="false"/>
                <w:smallCaps w:val="false"/>
                <w:sz w:val="20"/>
              </w:rPr>
              <w:t xml:space="preserve"> 55426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5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55426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60818__20"/>
      <w:bookmarkEnd w:id="13"/>
      <w:r>
        <w:rPr>
          <w:rFonts w:ascii="Times New Roman;Times;Serif" w:hAnsi="Times New Roman;Times;Serif"/>
          <w:b/>
          <w:i w:val="false"/>
          <w:caps w:val="false"/>
          <w:smallCaps w:val="false"/>
          <w:sz w:val="20"/>
        </w:rPr>
        <w:t xml:space="preserve">320) </w:t>
      </w:r>
      <w:bookmarkStart w:id="14" w:name="xdx_908_edei--LocalPhoneNumber_c20260818"/>
      <w:bookmarkEnd w:id="14"/>
      <w:r>
        <w:rPr>
          <w:rFonts w:ascii="Times New Roman;Times;Serif" w:hAnsi="Times New Roman;Times;Serif"/>
          <w:b/>
          <w:i w:val="false"/>
          <w:caps w:val="false"/>
          <w:smallCaps w:val="false"/>
          <w:sz w:val="20"/>
        </w:rPr>
        <w:t>229-8505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br/>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D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110" w:type="dxa"/>
        <w:jc w:val="left"/>
        <w:tblInd w:w="0" w:type="dxa"/>
        <w:tblLayout w:type="fixed"/>
        <w:tblCellMar>
          <w:top w:w="0" w:type="dxa"/>
          <w:left w:w="0" w:type="dxa"/>
          <w:bottom w:w="0" w:type="dxa"/>
          <w:right w:w="0" w:type="dxa"/>
        </w:tblCellMar>
      </w:tblPr>
      <w:tblGrid>
        <w:gridCol w:w="3590"/>
        <w:gridCol w:w="185"/>
        <w:gridCol w:w="1460"/>
        <w:gridCol w:w="60"/>
        <w:gridCol w:w="3815"/>
      </w:tblGrid>
      <w:tr>
        <w:trPr/>
        <w:tc>
          <w:tcPr>
            <w:tcW w:w="3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pBdr/>
              <w:bidi w:val="0"/>
              <w:spacing w:before="0" w:after="0"/>
              <w:ind w:left="135" w:right="0" w:hanging="135"/>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 of each class:</w:t>
            </w:r>
            <w:r>
              <w:rPr>
                <w:rFonts w:ascii="Times New Roman;Times;Serif" w:hAnsi="Times New Roman;Times;Serif"/>
                <w:b w:val="false"/>
                <w:i w:val="false"/>
                <w:caps w:val="false"/>
                <w:smallCaps w:val="false"/>
                <w:sz w:val="20"/>
              </w:rPr>
              <w:t> </w:t>
            </w:r>
          </w:p>
        </w:tc>
        <w:tc>
          <w:tcPr>
            <w:tcW w:w="185" w:type="dxa"/>
            <w:tcBorders/>
            <w:vAlign w:val="center"/>
          </w:tcPr>
          <w:p>
            <w:pPr>
              <w:pStyle w:val="TableContents"/>
              <w:bidi w:val="0"/>
              <w:spacing w:before="0" w:after="283"/>
              <w:jc w:val="center"/>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sz w:val="20"/>
              </w:rPr>
            </w:pPr>
            <w:r>
              <w:rPr>
                <w:b/>
                <w:sz w:val="20"/>
              </w:rPr>
              <w:t>Trading Symbol</w:t>
            </w:r>
            <w:r>
              <w:rPr>
                <w:sz w:val="20"/>
              </w:rPr>
              <w:t> </w:t>
            </w:r>
          </w:p>
        </w:tc>
        <w:tc>
          <w:tcPr>
            <w:tcW w:w="60" w:type="dxa"/>
            <w:tcBorders/>
            <w:vAlign w:val="center"/>
          </w:tcPr>
          <w:p>
            <w:pPr>
              <w:pStyle w:val="TableContents"/>
              <w:bidi w:val="0"/>
              <w:spacing w:before="0" w:after="283"/>
              <w:jc w:val="center"/>
              <w:rPr/>
            </w:pPr>
            <w:r>
              <w:rPr/>
              <w:t> </w:t>
            </w:r>
          </w:p>
        </w:tc>
        <w:tc>
          <w:tcPr>
            <w:tcW w:w="3815" w:type="dxa"/>
            <w:tcBorders>
              <w:bottom w:val="single" w:sz="8" w:space="0" w:color="000000"/>
            </w:tcBorders>
            <w:tcMar>
              <w:bottom w:w="28" w:type="dxa"/>
            </w:tcMar>
            <w:vAlign w:val="center"/>
          </w:tcPr>
          <w:p>
            <w:pPr>
              <w:pStyle w:val="TableContents"/>
              <w:bidi w:val="0"/>
              <w:spacing w:before="0" w:after="283"/>
              <w:jc w:val="center"/>
              <w:rPr>
                <w:sz w:val="20"/>
              </w:rPr>
            </w:pPr>
            <w:r>
              <w:rPr>
                <w:b/>
                <w:sz w:val="20"/>
              </w:rPr>
              <w:t>Name of each exchange on which registered:</w:t>
            </w:r>
            <w:r>
              <w:rPr>
                <w:sz w:val="20"/>
              </w:rPr>
              <w:t> </w:t>
            </w:r>
          </w:p>
        </w:tc>
      </w:tr>
      <w:tr>
        <w:trPr/>
        <w:tc>
          <w:tcPr>
            <w:tcW w:w="3590" w:type="dxa"/>
            <w:tcBorders/>
            <w:vAlign w:val="center"/>
          </w:tcPr>
          <w:p>
            <w:pPr>
              <w:pStyle w:val="TableContents"/>
              <w:pBdr/>
              <w:bidi w:val="0"/>
              <w:spacing w:before="0" w:after="0"/>
              <w:ind w:left="135" w:right="0" w:hanging="135"/>
              <w:jc w:val="center"/>
              <w:rPr>
                <w:rFonts w:ascii="Times New Roman;Times;Serif" w:hAnsi="Times New Roman;Times;Serif"/>
                <w:b w:val="false"/>
                <w:i w:val="false"/>
                <w:caps w:val="false"/>
                <w:smallCaps w:val="false"/>
                <w:sz w:val="20"/>
              </w:rPr>
            </w:pPr>
            <w:bookmarkStart w:id="19" w:name="xdx_905_edei--Security12bTitle_c20260818"/>
            <w:bookmarkEnd w:id="19"/>
            <w:r>
              <w:rPr>
                <w:rFonts w:ascii="Times New Roman;Times;Serif" w:hAnsi="Times New Roman;Times;Serif"/>
                <w:b w:val="false"/>
                <w:i w:val="false"/>
                <w:caps w:val="false"/>
                <w:smallCaps w:val="false"/>
                <w:sz w:val="20"/>
              </w:rPr>
              <w:t>Common stock, $0.0001 par value per share</w:t>
            </w:r>
          </w:p>
        </w:tc>
        <w:tc>
          <w:tcPr>
            <w:tcW w:w="18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sz w:val="20"/>
              </w:rPr>
            </w:pPr>
            <w:bookmarkStart w:id="20" w:name="xdx_90B_edei--TradingSymbol_c20260818__2"/>
            <w:bookmarkEnd w:id="20"/>
            <w:r>
              <w:rPr>
                <w:sz w:val="20"/>
              </w:rPr>
              <w:t>JCAP</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sz w:val="20"/>
              </w:rPr>
            </w:pPr>
            <w:bookmarkStart w:id="21" w:name="xdx_904_edei--SecurityExchangeName_c2026"/>
            <w:bookmarkEnd w:id="21"/>
            <w:r>
              <w:rPr>
                <w:sz w:val="20"/>
              </w:rPr>
              <w:t>Nasdaq Global Select Market</w:t>
            </w:r>
          </w:p>
        </w:tc>
      </w:tr>
      <w:tr>
        <w:trPr/>
        <w:tc>
          <w:tcPr>
            <w:tcW w:w="3590" w:type="dxa"/>
            <w:tcBorders/>
            <w:vAlign w:val="center"/>
          </w:tcPr>
          <w:p>
            <w:pPr>
              <w:pStyle w:val="TableContents"/>
              <w:pBdr/>
              <w:bidi w:val="0"/>
              <w:spacing w:before="0" w:after="0"/>
              <w:ind w:left="135" w:right="0" w:hanging="135"/>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Jefferson Capital, Inc. (the “Company”) issued a press release regarding the proposed offering by its indirect wholly-owned subsidiary, Jefferson Capital Holdings, LLC (the “Issuer”), of $100 million aggregate principal amount of 8.250% senior notes due 2030 (the “Add-On Notes”). The Add-On Notes are proposed to be issued as additional notes under the Indenture, dated as of May 2, 2025, pursuant to which the Issuer previously issued $500 million in aggregate principal amount of 8.250% senior notes due 2030 (the “Existing Notes” and, together with the Add-On Notes, the “Notes”). A copy of the press release is furnished herewith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issued a press release regarding the pricing of the proposed offering of the Add-On Notes described above. A copy of the press release is furnished herewith as Exhibit 99.2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Exhibits 99.1 and 99.2, is provided solely for informational purposes and does not constitute an offer of securities for sale or a solicitation of an offer to buy securities. No offer or sale of the Add-On Notes will be made in any jurisdiction in which such offer, solicitation or sale is unlawful. The Add-On Notes have not been and will not be registered under the Securities Act of 1933, as amended (the “Securities Act”), and may not be offered or sold in the United States absent registration or an applicable exemption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 including Exhibit 99.1 and Exhibit 99.2, contains “forward-looking statements” within the meaning of Section 21E of the Securities Exchange Act of 1934, as amended, and in the U.S. Private Securities Litigation Reform Act of 1995. Readers are cautioned not to place undue reliance on these forward-looking statements and any such forward-looking statements are qualified in their entirety by reference to the following cautionary statements. All forward-looking statements speak only as of the date of this Current Report on Form 8-K and are based on current expectations and involve a number of assumptions, risks and uncertainties that could cause the actual results to differ materially from such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99.1 shall be deemed to be furnished, and not filed:</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28" w:type="dxa"/>
          <w:right w:w="0" w:type="dxa"/>
        </w:tblCellMar>
      </w:tblPr>
      <w:tblGrid>
        <w:gridCol w:w="725"/>
        <w:gridCol w:w="60"/>
        <w:gridCol w:w="659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650" w:type="dxa"/>
            <w:gridSpan w:val="2"/>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316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pPr>
            <w:hyperlink w:anchor="tm2623167d1_ex99-1.htm">
              <w:r>
                <w:rPr>
                  <w:rStyle w:val="InternetLink"/>
                  <w:rFonts w:ascii="Times New Roman;Times;Serif" w:hAnsi="Times New Roman;Times;Serif"/>
                </w:rPr>
                <w:t>Press</w:t>
              </w:r>
            </w:hyperlink>
            <w:hyperlink w:anchor="tm2623167d1_ex99-1.htm">
              <w:r>
                <w:rPr>
                  <w:rStyle w:val="InternetLink"/>
                </w:rPr>
                <w:t xml:space="preserve"> release, issued on August 18,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3167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pPr>
            <w:hyperlink w:anchor="tm2623167d1_ex99-2.htm">
              <w:r>
                <w:rPr>
                  <w:rStyle w:val="InternetLink"/>
                  <w:rFonts w:ascii="Times New Roman;Times;Serif" w:hAnsi="Times New Roman;Times;Serif"/>
                </w:rPr>
                <w:t>Press</w:t>
              </w:r>
            </w:hyperlink>
            <w:hyperlink w:anchor="tm2623167d1_ex99-2.htm">
              <w:r>
                <w:rPr>
                  <w:rStyle w:val="InternetLink"/>
                </w:rPr>
                <w:t xml:space="preserve"> release, issued on August 18,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865"/>
        <w:gridCol w:w="590"/>
        <w:gridCol w:w="1895"/>
      </w:tblGrid>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Jefferson Capital, Inc.</w:t>
            </w:r>
          </w:p>
        </w:tc>
      </w:tr>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18, 2026</w:t>
            </w:r>
          </w:p>
        </w:tc>
        <w:tc>
          <w:tcPr>
            <w:tcW w:w="24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Christo Realov</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 Realov</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4" w:name="tm2623167d1_ex99-1.htm"/>
      <w:bookmarkStart w:id="25" w:name="kstm2623167d1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65530" cy="415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5530" cy="4159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Capital Announces Proposed Private Offering of Senior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MINNEAPOLIS, Aug. 18, 2026 (GLOBE NEWSWIRE) -</w:t>
      </w:r>
      <w:r>
        <w:rPr>
          <w:rFonts w:ascii="Times New Roman;Times;Serif" w:hAnsi="Times New Roman;Times;Serif"/>
          <w:b w:val="false"/>
          <w:i w:val="false"/>
          <w:caps w:val="false"/>
          <w:smallCaps w:val="false"/>
          <w:sz w:val="20"/>
        </w:rPr>
        <w:t xml:space="preserve"> -- Jefferson Capital, Inc. (NASDAQ: JCAP) (“</w:t>
      </w:r>
      <w:r>
        <w:rPr>
          <w:rFonts w:ascii="Times New Roman;Times;Serif" w:hAnsi="Times New Roman;Times;Serif"/>
          <w:b w:val="false"/>
          <w:i w:val="false"/>
          <w:caps w:val="false"/>
          <w:smallCaps w:val="false"/>
          <w:sz w:val="20"/>
          <w:u w:val="single"/>
        </w:rPr>
        <w:t>Jefferson Capital</w:t>
      </w:r>
      <w:r>
        <w:rPr>
          <w:rFonts w:ascii="Times New Roman;Times;Serif" w:hAnsi="Times New Roman;Times;Serif"/>
          <w:b w:val="false"/>
          <w:i w:val="false"/>
          <w:caps w:val="false"/>
          <w:smallCaps w:val="false"/>
          <w:sz w:val="20"/>
        </w:rPr>
        <w:t>”), announced today the launch of an offering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of $100 million in aggregate principal amount of senior notes due 2030 (the “</w:t>
      </w:r>
      <w:r>
        <w:rPr>
          <w:rFonts w:ascii="Times New Roman;Times;Serif" w:hAnsi="Times New Roman;Times;Serif"/>
          <w:b w:val="false"/>
          <w:i w:val="false"/>
          <w:caps w:val="false"/>
          <w:smallCaps w:val="false"/>
          <w:sz w:val="20"/>
          <w:u w:val="single"/>
        </w:rPr>
        <w:t>Add-On Notes</w:t>
      </w:r>
      <w:r>
        <w:rPr>
          <w:rFonts w:ascii="Times New Roman;Times;Serif" w:hAnsi="Times New Roman;Times;Serif"/>
          <w:b w:val="false"/>
          <w:i w:val="false"/>
          <w:caps w:val="false"/>
          <w:smallCaps w:val="false"/>
          <w:sz w:val="20"/>
        </w:rPr>
        <w:t>”) by Jefferson Capital Holdings, LLC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its indirect wholly-owned subsidiary. The Add-On Notes will be initially fully and unconditionally guaranteed on a senior unsecured basis by certain of the Issuer’s wholly-owned domestic restricted subsidiaries. The Add-On Notes are being offered as additional notes under the Indenture, dated as of May 2, 2025, pursuant to which the Issuer previously issued $500 million in aggregate principal amount of 8.250% senior notes due 2030 (the “</w:t>
      </w:r>
      <w:r>
        <w:rPr>
          <w:rFonts w:ascii="Times New Roman;Times;Serif" w:hAnsi="Times New Roman;Times;Serif"/>
          <w:b w:val="false"/>
          <w:i w:val="false"/>
          <w:caps w:val="false"/>
          <w:smallCaps w:val="false"/>
          <w:sz w:val="20"/>
          <w:u w:val="single"/>
        </w:rPr>
        <w:t>Existing Notes</w:t>
      </w:r>
      <w:r>
        <w:rPr>
          <w:rFonts w:ascii="Times New Roman;Times;Serif" w:hAnsi="Times New Roman;Times;Serif"/>
          <w:b w:val="false"/>
          <w:i w:val="false"/>
          <w:caps w:val="false"/>
          <w:smallCaps w:val="false"/>
          <w:sz w:val="20"/>
        </w:rPr>
        <w:t>” and, together with the Add-On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intends to use the net proceeds from the Offering (i) to repay a portion of the borrowings currently outstanding under its revolving credit facility and (ii) the remainder, if any, for general corporate purposes. The Issuer may in the future reborrow amounts under its revolving credit facility to, among other things, purchase portfolios and fund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related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 The Notes are being offered only to persons reasonably believed to be qualified institutional buyers pursuant to Rule 144A under the Securities Act and to non-U.S. persons outside the United States pursuant to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It does not constitute an offer to sell or a solicitation of an offer to buy the Notes or any other securities, nor shall there be any offer, solicitation or sale of the Notes or any other securities in any state or jurisdiction in which such offer, solicitation or sale would be unlawful prior to registration or qualification under the securities laws of any such state or jurisdiction</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Forward-looking statements include, without limitation, all statements other than statements of historical or current facts contained in this press release, including statements relating to our intentions, beliefs, assumptions or current expectations concerning, among other things, our future results of operations and financial position, business strategy and plans and objectives of management for future operations, including, among others, statements regarding expected growth, future capital expenditures, capital allocation and debt service obligations, and the anticipated impact on our business. Some of the forward-looking statements can be identified by the use of forward-looking terms such as “believes,” “expects,” “may,” “will,” “shall,” “should,” “would,” “could,” “seeks,” “aims,” “projects,” “is optimistic,” “intends,” “plans,” “estimates,” “anticipates” or the negative versions of these words or other comparable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known and unknown risks and uncertainties, many of which may be outside our control. We caution you that forward-looking statements are not guarantees of future performance or outcomes and that actual performance and outcomes, including, without limitation, our actual results of operations, financial condition and liquidity, and the development of the market in which we operate, may differ materially from those made in or suggested by the forward-looking statements contained in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concerning these and other factors can be found in our filings with the Securities and Exchange Commission. All forward-looking statements attributable to us or persons acting on our behalf are expressly qualified in their entirety by the foregoing cautionary statements. All such statements speak only as of the date made and, except as required by law, we undertake no obligation to update or revise publicly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IR@jcap.com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Doug.Donsky@icrinc.com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3167d1_ex99-2.htm"/>
      <w:bookmarkStart w:id="27" w:name="kstm2623167d1_ex992"/>
      <w:bookmarkEnd w:id="26"/>
      <w:bookmarkEnd w:id="27"/>
      <w:r>
        <w:rPr/>
        <w:t> </w:t>
      </w:r>
      <w:r>
        <w:br w:type="page"/>
      </w:r>
    </w:p>
    <w:p>
      <w:pPr>
        <w:pStyle w:val="TextBody"/>
        <w:bidi w:val="0"/>
        <w:jc w:val="right"/>
        <w:rPr>
          <w:rFonts w:ascii="Times New Roman;Times;Serif" w:hAnsi="Times New Roman;Times;Serif"/>
          <w:sz w:val="20"/>
        </w:rPr>
      </w:pPr>
      <w:r>
        <w:rPr>
          <w:rFonts w:ascii="Times New Roman;Times;Serif" w:hAnsi="Times New Roman;Times;Serif"/>
          <w:b/>
          <w:sz w:val="20"/>
        </w:rPr>
        <w:t>Exhibit 99.2</w:t>
      </w:r>
      <w:r>
        <w:rPr>
          <w:rFonts w:ascii="Times New Roman;Times;Serif" w:hAnsi="Times New Roman;Times;Serif"/>
          <w:sz w:val="20"/>
        </w:rPr>
        <w:t> </w:t>
      </w:r>
    </w:p>
    <w:p>
      <w:pPr>
        <w:pStyle w:val="TextBody"/>
        <w:bidi w:val="0"/>
        <w:spacing w:before="0" w:after="283"/>
        <w:jc w:val="left"/>
        <w:rPr/>
      </w:pPr>
      <w:r>
        <w:rPr/>
        <w:t> </w:t>
      </w:r>
    </w:p>
    <w:p>
      <w:pPr>
        <w:pStyle w:val="TextBody"/>
        <w:bidi w:val="0"/>
        <w:jc w:val="center"/>
        <w:rPr/>
      </w:pPr>
      <w:r>
        <w:rPr/>
        <w:drawing>
          <wp:inline distT="0" distB="0" distL="0" distR="0">
            <wp:extent cx="2200275"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00275" cy="828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Capital Announces Pricing of $100 Million of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MINNEAPOLIS, Aug. 18, 2026 (GLOBE NEWSWIRE)</w:t>
      </w:r>
      <w:r>
        <w:rPr>
          <w:rFonts w:ascii="Times New Roman;Times;Serif" w:hAnsi="Times New Roman;Times;Serif"/>
          <w:b w:val="false"/>
          <w:i w:val="false"/>
          <w:caps w:val="false"/>
          <w:smallCaps w:val="false"/>
          <w:sz w:val="20"/>
        </w:rPr>
        <w:t xml:space="preserve"> -- Jefferson Capital, Inc. (NASDAQ: JCAP) (“</w:t>
      </w:r>
      <w:r>
        <w:rPr>
          <w:rFonts w:ascii="Times New Roman;Times;Serif" w:hAnsi="Times New Roman;Times;Serif"/>
          <w:b w:val="false"/>
          <w:i w:val="false"/>
          <w:caps w:val="false"/>
          <w:smallCaps w:val="false"/>
          <w:sz w:val="20"/>
          <w:u w:val="single"/>
        </w:rPr>
        <w:t>Jefferson Capital</w:t>
      </w:r>
      <w:r>
        <w:rPr>
          <w:rFonts w:ascii="Times New Roman;Times;Serif" w:hAnsi="Times New Roman;Times;Serif"/>
          <w:b w:val="false"/>
          <w:i w:val="false"/>
          <w:caps w:val="false"/>
          <w:smallCaps w:val="false"/>
          <w:sz w:val="20"/>
        </w:rPr>
        <w:t>”), announced today the pricing of an offering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of $100 million aggregate principal amount of 8.250% senior notes due 2030 (the “</w:t>
      </w:r>
      <w:r>
        <w:rPr>
          <w:rFonts w:ascii="Times New Roman;Times;Serif" w:hAnsi="Times New Roman;Times;Serif"/>
          <w:b w:val="false"/>
          <w:i w:val="false"/>
          <w:caps w:val="false"/>
          <w:smallCaps w:val="false"/>
          <w:sz w:val="20"/>
          <w:u w:val="single"/>
        </w:rPr>
        <w:t>Add-On Notes</w:t>
      </w:r>
      <w:r>
        <w:rPr>
          <w:rFonts w:ascii="Times New Roman;Times;Serif" w:hAnsi="Times New Roman;Times;Serif"/>
          <w:b w:val="false"/>
          <w:i w:val="false"/>
          <w:caps w:val="false"/>
          <w:smallCaps w:val="false"/>
          <w:sz w:val="20"/>
        </w:rPr>
        <w:t>”) by Jefferson Capital Holdings, LLC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its indirect wholly-owned subsidiary. The Add-On Notes will initially be fully and unconditionally guaranteed on a senior unsecured basis by certain of the Issuer’s wholly-owned domestic restricted subsidiaries. The Add-On Notes are being offered as additional notes under the Indenture, dated as of May 2, 2025, pursuant to which the Issuer previously issued $500 million in aggregate principal amount of 8.250% senior notes due 2030 (the “</w:t>
      </w:r>
      <w:r>
        <w:rPr>
          <w:rFonts w:ascii="Times New Roman;Times;Serif" w:hAnsi="Times New Roman;Times;Serif"/>
          <w:b w:val="false"/>
          <w:i w:val="false"/>
          <w:caps w:val="false"/>
          <w:smallCaps w:val="false"/>
          <w:sz w:val="20"/>
          <w:u w:val="single"/>
        </w:rPr>
        <w:t>Existing Notes</w:t>
      </w:r>
      <w:r>
        <w:rPr>
          <w:rFonts w:ascii="Times New Roman;Times;Serif" w:hAnsi="Times New Roman;Times;Serif"/>
          <w:b w:val="false"/>
          <w:i w:val="false"/>
          <w:caps w:val="false"/>
          <w:smallCaps w:val="false"/>
          <w:sz w:val="20"/>
        </w:rPr>
        <w:t>” and, together with the Add-On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intends to use the net proceeds from the Offering (i) to repay a portion of the borrowings currently outstanding under its revolving credit facility and (ii) the remainder, if any, for general corporate purposes. The Issuer may in the future reborrow amounts under its revolving credit facility to, among other things, purchase portfolios and fund acquisitions. The Offering is expected to close on August 20,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related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 The Notes are being sold only to persons reasonably believed to be qualified institutional buyers pursuant to Rule 144A under the Securities Act and to non-U.S. persons outside the United States pursuant to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It does not constitute an offer to sell or a solicitation of an offer to buy the Notes or any other securities, nor shall there be any offer, solicitation or sale of the Notes or any other securities in any state or jurisdiction in which such offer, solicitation or sale would be unlawful prior to registration or qualification under the securities laws of any such state or jurisdiction</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Forward-looking statements include, without limitation, all statements other than statements of historical or current facts contained in this press release, including statements relating to our intentions, beliefs, assumptions or current expectations concerning, among other things, our future results of operations and financial position, business strategy and plans and objectives of management for future operations, including, among others, statements regarding expected growth, future capital expenditures, capital allocation and debt service obligations, and the anticipated impact on our business. Some of the forward-looking statements can be identified by the use of forward-looking terms such as “believes,” “expects,” “may,” “will,” “shall,” “should,” “would,” “could,” “seeks,” “aims,” “projects,” “is optimistic,” “intends,” “plans,” “estimates,” “anticipates” or the negative versions of these words or other comparable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known and unknown risks and uncertainties, many of which may be outside our control. We caution you that forward-looking statements are not guarantees of future performance or outcomes and that actual performance and outcomes, including, without limitation, our actual results of operations, financial condition and liquidity, and the development of the market in which we operate, may differ materially from those made in or suggested by the forward-looking statements contained in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concerning these and other factors can be found in our filings with the Securities and Exchange Commission. All forward-looking statements attributable to us or persons acting on our behalf are expressly qualified in their entirety by the foregoing cautionary statements. All such statements speak only as of the date made and, except as required by law, we undertake no obligation to update or revise publicly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IR@jcap.com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Doug.Donsky@icrinc.com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2195</Words>
  <Characters>12399</Characters>
  <CharactersWithSpaces>14615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