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8" w:space="1" w:color="000000"/>
        </w:pBdr>
        <w:bidi w:val="0"/>
        <w:spacing w:lineRule="atLeast" w:line="200" w:before="0" w:after="0"/>
        <w:ind w:left="0" w:right="0" w:hanging="0"/>
        <w:jc w:val="left"/>
        <w:rPr>
          <w:bdr w:val="single" w:sz="24" w:space="1" w:color="000000"/>
        </w:rPr>
      </w:pPr>
      <w:bookmarkStart w:id="0" w:name="jcap-20260813x8k.htm"/>
      <w:bookmarkStart w:id="1" w:name="ksjcap20260813x8k"/>
      <w:bookmarkEnd w:id="0"/>
      <w:bookmarkEnd w:id="1"/>
      <w:r>
        <w:rPr>
          <w:bdr w:val="single" w:sz="24" w:space="1" w:color="000000"/>
        </w:rPr>
        <w:t>​</w:t>
      </w:r>
    </w:p>
    <w:p>
      <w:pPr>
        <w:pStyle w:val="TextBody"/>
        <w:bidi w:val="0"/>
        <w:spacing w:before="0" w:after="0"/>
        <w:ind w:left="0" w:right="0" w:hanging="0"/>
        <w:jc w:val="center"/>
        <w:rPr>
          <w:rFonts w:ascii="Times New Roman;Times;serif" w:hAnsi="Times New Roman;Times;serif"/>
          <w:sz w:val="20"/>
        </w:rPr>
      </w:pPr>
      <w:bookmarkStart w:id="2" w:name="_142f0997_4491_4f70_b281_cd80c2b0e4bf"/>
      <w:bookmarkEnd w:id="2"/>
      <w:r>
        <w:rPr>
          <w:rFonts w:ascii="Times New Roman;Times;serif" w:hAnsi="Times New Roman;Times;serif"/>
          <w:b/>
          <w:sz w:val="28"/>
        </w:rPr>
        <w:t>UNITED STATES</w:t>
        <w:br/>
        <w:t>SECURITIES AND EXCHANGE COMMISSION</w:t>
      </w:r>
      <w:r>
        <w:rPr>
          <w:rFonts w:ascii="Times New Roman;Times;serif" w:hAnsi="Times New Roman;Times;serif"/>
          <w:sz w:val="20"/>
        </w:rPr>
        <w:t xml:space="preserve"> </w:t>
        <w:br/>
      </w:r>
      <w:r>
        <w:rPr>
          <w:rFonts w:ascii="Times New Roman;Times;serif" w:hAnsi="Times New Roman;Times;serif"/>
          <w:b/>
          <w:sz w:val="24"/>
        </w:rPr>
        <w:t>Washington, D.C. 20549</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36"/>
        </w:rPr>
      </w:pPr>
      <w:r>
        <w:rPr>
          <w:rFonts w:ascii="Times New Roman;Times;serif" w:hAnsi="Times New Roman;Times;serif"/>
          <w:b/>
          <w:sz w:val="36"/>
        </w:rPr>
        <w:t>FORM 8-K</w:t>
      </w:r>
      <w:r>
        <w:rPr>
          <w:rFonts w:ascii="Times New Roman;Times;serif" w:hAnsi="Times New Roman;Times;serif"/>
          <w:sz w:val="20"/>
        </w:rPr>
        <w:br/>
      </w:r>
      <w:r>
        <w:rPr>
          <w:rFonts w:ascii="Times New Roman;Times;serif" w:hAnsi="Times New Roman;Times;serif"/>
          <w:b/>
          <w:sz w:val="24"/>
        </w:rPr>
        <w:t>CURRENT REPORT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w:t>
        <w:br/>
        <w:t>THE SECURITIES EXCHANGE ACT OF 1934</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August 13, 2026</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Report</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(Date of earliest event reported)</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i w:val="false"/>
          <w:caps w:val="false"/>
          <w:smallCaps w:val="false"/>
          <w:sz w:val="40"/>
        </w:rPr>
      </w:pPr>
      <w:r>
        <w:rPr>
          <w:rFonts w:ascii="Times New Roman;Times;serif" w:hAnsi="Times New Roman;Times;serif"/>
          <w:b/>
          <w:i w:val="false"/>
          <w:caps w:val="false"/>
          <w:smallCaps w:val="false"/>
          <w:sz w:val="40"/>
        </w:rPr>
        <w:t>Jefferson Capital, Inc.</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(Exact name of registrant as specified in its charter)</w:t>
      </w:r>
    </w:p>
    <w:p>
      <w:pPr>
        <w:pStyle w:val="TextBody"/>
        <w:bidi w:val="0"/>
        <w:spacing w:before="0" w:after="0"/>
        <w:ind w:left="0" w:right="0" w:hanging="0"/>
        <w:jc w:val="left"/>
        <w:rPr/>
      </w:pPr>
      <w:r>
        <w:rPr/>
        <w:t>​</w:t>
      </w:r>
    </w:p>
    <w:tbl>
      <w:tblPr>
        <w:tblW w:w="7098" w:type="dxa"/>
        <w:jc w:val="left"/>
        <w:tblInd w:w="0" w:type="dxa"/>
        <w:tblLayout w:type="fixed"/>
        <w:tblCellMar>
          <w:top w:w="0" w:type="dxa"/>
          <w:left w:w="0" w:type="dxa"/>
          <w:bottom w:w="0" w:type="dxa"/>
          <w:right w:w="0" w:type="dxa"/>
        </w:tblCellMar>
      </w:tblPr>
      <w:tblGrid>
        <w:gridCol w:w="2206"/>
        <w:gridCol w:w="3436"/>
        <w:gridCol w:w="1456"/>
      </w:tblGrid>
      <w:tr>
        <w:trPr/>
        <w:tc>
          <w:tcPr>
            <w:tcW w:w="22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343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c>
          <w:tcPr>
            <w:tcW w:w="145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tc>
      </w:tr>
      <w:tr>
        <w:trPr/>
        <w:tc>
          <w:tcPr>
            <w:tcW w:w="2206"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DELAWARE</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 xml:space="preserve">(State or other jurisdiction of </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incorporation)</w:t>
            </w:r>
          </w:p>
          <w:p>
            <w:pPr>
              <w:pStyle w:val="TableContents"/>
              <w:bidi w:val="0"/>
              <w:spacing w:before="0" w:after="0"/>
              <w:ind w:left="0" w:right="0" w:hanging="0"/>
              <w:jc w:val="center"/>
              <w:rPr/>
            </w:pPr>
            <w:r>
              <w:rPr/>
              <w:t>​</w:t>
            </w:r>
          </w:p>
        </w:tc>
        <w:tc>
          <w:tcPr>
            <w:tcW w:w="34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001-42718</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(Commission File Number)</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33-1923926</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(I.R.S. Employer</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Identification No.)</w:t>
            </w:r>
          </w:p>
        </w:tc>
      </w:tr>
      <w:tr>
        <w:trPr/>
        <w:tc>
          <w:tcPr>
            <w:tcW w:w="2206" w:type="dxa"/>
            <w:tcBorders/>
            <w:vAlign w:val="center"/>
          </w:tcPr>
          <w:p>
            <w:pPr>
              <w:pStyle w:val="TableContents"/>
              <w:bidi w:val="0"/>
              <w:spacing w:before="0" w:after="0"/>
              <w:ind w:left="0" w:right="0" w:hanging="0"/>
              <w:jc w:val="center"/>
              <w:rPr/>
            </w:pPr>
            <w:r>
              <w:rPr/>
              <w:t>​</w:t>
            </w:r>
          </w:p>
        </w:tc>
        <w:tc>
          <w:tcPr>
            <w:tcW w:w="343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600 SOUTH HIGHWAY 169, SUITE 1575,</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8"/>
              </w:rPr>
              <w:t xml:space="preserve">MINNEAPOLIS, </w:t>
            </w:r>
            <w:r>
              <w:rPr>
                <w:rFonts w:ascii="Times New Roman;Times;serif" w:hAnsi="Times New Roman;Times;serif"/>
                <w:b/>
                <w:i w:val="false"/>
                <w:caps w:val="false"/>
                <w:smallCaps w:val="false"/>
                <w:sz w:val="18"/>
              </w:rPr>
              <w:t>MINNESOTA</w:t>
            </w:r>
            <w:r>
              <w:rPr>
                <w:rFonts w:ascii="Times New Roman;Times;serif" w:hAnsi="Times New Roman;Times;serif"/>
                <w:sz w:val="20"/>
              </w:rPr>
              <w:t xml:space="preserve"> </w:t>
            </w:r>
            <w:r>
              <w:rPr>
                <w:rFonts w:ascii="Times New Roman;Times;serif" w:hAnsi="Times New Roman;Times;serif"/>
                <w:b/>
                <w:sz w:val="18"/>
              </w:rPr>
              <w:t>55426</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(Address of principal executive offices)</w:t>
            </w:r>
          </w:p>
        </w:tc>
        <w:tc>
          <w:tcPr>
            <w:tcW w:w="1456"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55426</w:t>
            </w:r>
          </w:p>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(Zip Code)</w:t>
            </w:r>
          </w:p>
        </w:tc>
      </w:tr>
    </w:tbl>
    <w:p>
      <w:pPr>
        <w:pStyle w:val="TextBody"/>
        <w:bidi w:val="0"/>
        <w:spacing w:before="0" w:after="0"/>
        <w:ind w:left="0" w:right="0" w:hanging="0"/>
        <w:jc w:val="left"/>
        <w:rPr/>
      </w:pPr>
      <w:r>
        <w:rPr/>
        <w:t>​</w:t>
      </w:r>
    </w:p>
    <w:p>
      <w:pPr>
        <w:pStyle w:val="TextBody"/>
        <w:bidi w:val="0"/>
        <w:spacing w:before="0" w:after="0"/>
        <w:ind w:left="60" w:right="0" w:hanging="0"/>
        <w:jc w:val="center"/>
        <w:rPr>
          <w:rFonts w:ascii="Times New Roman;Times;serif" w:hAnsi="Times New Roman;Times;serif"/>
          <w:sz w:val="20"/>
        </w:rPr>
      </w:pPr>
      <w:r>
        <w:rPr>
          <w:rFonts w:ascii="Times New Roman;Times;serif" w:hAnsi="Times New Roman;Times;serif"/>
          <w:sz w:val="18"/>
        </w:rPr>
        <w:t xml:space="preserve">Registrant’s telephone number, including area code: </w:t>
      </w:r>
      <w:r>
        <w:rPr>
          <w:rFonts w:ascii="Times New Roman;Times;serif" w:hAnsi="Times New Roman;Times;serif"/>
          <w:b/>
          <w:sz w:val="18"/>
        </w:rPr>
        <w:t>(320) 229-8505</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Not Applicable</w:t>
        <w:br/>
      </w:r>
      <w:r>
        <w:rPr>
          <w:rFonts w:ascii="Times New Roman;Times;serif" w:hAnsi="Times New Roman;Times;serif"/>
          <w:sz w:val="18"/>
        </w:rPr>
        <w:t>(Former name or former address, if changed since last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Written communications pursuant to Rule 425 under the Securities Act (17 CFR 230.425)</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Soliciting material pursuant to Rule 14a-12 under the Exchange Act (17 CFR 240.14a-12)</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Pre-commencement communications pursuant to Rule 14d-2(b) under the Exchange Act (17 CFR 240.14d-2(b))</w:t>
      </w:r>
    </w:p>
    <w:p>
      <w:pPr>
        <w:pStyle w:val="TextBody"/>
        <w:bidi w:val="0"/>
        <w:spacing w:before="0" w:after="0"/>
        <w:ind w:left="0" w:right="0" w:hanging="0"/>
        <w:jc w:val="left"/>
        <w:rPr/>
      </w:pPr>
      <w:r>
        <w:rPr/>
        <w:t>​</w:t>
      </w:r>
    </w:p>
    <w:p>
      <w:pPr>
        <w:pStyle w:val="TextBody"/>
        <w:bidi w:val="0"/>
        <w:spacing w:before="0" w:after="0"/>
        <w:ind w:left="0" w:right="0" w:hanging="0"/>
        <w:jc w:val="left"/>
        <w:rPr/>
      </w:pPr>
      <w:r>
        <w:rPr/>
        <w:t xml:space="preserve">☐ </w:t>
      </w:r>
      <w:r>
        <w:rPr>
          <w:rFonts w:ascii="Times New Roman;Times;serif" w:hAnsi="Times New Roman;Times;serif"/>
          <w:sz w:val="18"/>
        </w:rPr>
        <w:t>Pre-commencement communications pursuant to Rule 13e-4(c) under the Exchange Act (17 CFR 240.13e-4(c))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Securities registered pursuant to Section 12(b) of the Act:</w:t>
      </w:r>
    </w:p>
    <w:p>
      <w:pPr>
        <w:pStyle w:val="TextBody"/>
        <w:bidi w:val="0"/>
        <w:spacing w:before="100" w:after="100"/>
        <w:ind w:left="0" w:right="0" w:hanging="0"/>
        <w:jc w:val="left"/>
        <w:rPr/>
      </w:pPr>
      <w:r>
        <w:rPr/>
        <w:t>​</w:t>
      </w:r>
    </w:p>
    <w:p>
      <w:pPr>
        <w:pStyle w:val="Normal"/>
        <w:bidi w:val="0"/>
        <w:spacing w:before="0" w:after="0"/>
        <w:jc w:val="left"/>
        <w:rPr>
          <w:sz w:val="4"/>
          <w:szCs w:val="4"/>
        </w:rPr>
      </w:pPr>
      <w:r>
        <w:rPr>
          <w:sz w:val="4"/>
          <w:szCs w:val="4"/>
        </w:rPr>
      </w:r>
      <w:bookmarkStart w:id="3" w:name="Tc_H2fU0n9aLUu60kkSCc73mg_1_4"/>
      <w:bookmarkStart w:id="4" w:name="Tc_wzVjnMZYx0SXXXIGXDLudg_1_2"/>
      <w:bookmarkStart w:id="5" w:name="Tc_1BY3ZHIkcEO3qus0IAcCfQ_1_0"/>
      <w:bookmarkStart w:id="6" w:name="_fe377751_9234_40cf_b69c_ac1443183349"/>
      <w:bookmarkStart w:id="7" w:name="Tc_H2fU0n9aLUu60kkSCc73mg_1_4"/>
      <w:bookmarkStart w:id="8" w:name="Tc_wzVjnMZYx0SXXXIGXDLudg_1_2"/>
      <w:bookmarkStart w:id="9" w:name="Tc_1BY3ZHIkcEO3qus0IAcCfQ_1_0"/>
      <w:bookmarkStart w:id="10" w:name="_fe377751_9234_40cf_b69c_ac1443183349"/>
      <w:bookmarkEnd w:id="7"/>
      <w:bookmarkEnd w:id="8"/>
      <w:bookmarkEnd w:id="9"/>
      <w:bookmarkEnd w:id="10"/>
    </w:p>
    <w:tbl>
      <w:tblPr>
        <w:tblW w:w="8960" w:type="dxa"/>
        <w:jc w:val="left"/>
        <w:tblInd w:w="0" w:type="dxa"/>
        <w:tblLayout w:type="fixed"/>
        <w:tblCellMar>
          <w:top w:w="0" w:type="dxa"/>
          <w:left w:w="0" w:type="dxa"/>
          <w:bottom w:w="0" w:type="dxa"/>
          <w:right w:w="0" w:type="dxa"/>
        </w:tblCellMar>
      </w:tblPr>
      <w:tblGrid>
        <w:gridCol w:w="3256"/>
        <w:gridCol w:w="451"/>
        <w:gridCol w:w="1411"/>
        <w:gridCol w:w="346"/>
        <w:gridCol w:w="349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67560" cy="29210"/>
                      <wp:effectExtent l="0" t="0" r="0" b="0"/>
                      <wp:wrapNone/>
                      <wp:docPr id="1" name="Frame1"/>
                      <a:graphic xmlns:a="http://schemas.openxmlformats.org/drawingml/2006/main">
                        <a:graphicData uri="http://schemas.microsoft.com/office/word/2010/wordprocessingShape">
                          <wps:wsp>
                            <wps:cNvSpPr txBox="1"/>
                            <wps:spPr>
                              <a:xfrm>
                                <a:off x="0" y="0"/>
                                <a:ext cx="20675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51" w:type="dxa"/>
            <w:tcBorders/>
            <w:vAlign w:val="center"/>
          </w:tcPr>
          <w:p>
            <w:pPr>
              <w:pStyle w:val="TableContents"/>
              <w:bidi w:val="0"/>
              <w:spacing w:before="0" w:after="283"/>
              <w:ind w:left="0" w:right="0" w:hanging="0"/>
              <w:jc w:val="left"/>
              <w:rPr>
                <w:sz w:val="4"/>
                <w:szCs w:val="4"/>
              </w:rPr>
            </w:pPr>
            <w:r>
              <w:rPr>
                <w:sz w:val="4"/>
                <w:szCs w:val="4"/>
              </w:rPr>
            </w:r>
          </w:p>
        </w:tc>
        <w:tc>
          <w:tcPr>
            <w:tcW w:w="1411"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19710" cy="29210"/>
                      <wp:effectExtent l="0" t="0" r="0" b="0"/>
                      <wp:wrapNone/>
                      <wp:docPr id="2" name="Frame2"/>
                      <a:graphic xmlns:a="http://schemas.openxmlformats.org/drawingml/2006/main">
                        <a:graphicData uri="http://schemas.microsoft.com/office/word/2010/wordprocessingShape">
                          <wps:wsp>
                            <wps:cNvSpPr txBox="1"/>
                            <wps:spPr>
                              <a:xfrm>
                                <a:off x="0" y="0"/>
                                <a:ext cx="219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219960" cy="29210"/>
                      <wp:effectExtent l="0" t="0" r="0" b="0"/>
                      <wp:wrapNone/>
                      <wp:docPr id="3" name="Frame3"/>
                      <a:graphic xmlns:a="http://schemas.openxmlformats.org/drawingml/2006/main">
                        <a:graphicData uri="http://schemas.microsoft.com/office/word/2010/wordprocessingShape">
                          <wps:wsp>
                            <wps:cNvSpPr txBox="1"/>
                            <wps:spPr>
                              <a:xfrm>
                                <a:off x="0" y="0"/>
                                <a:ext cx="2219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256"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Title of each class:</w:t>
            </w:r>
            <w:r>
              <w:rPr>
                <w:rFonts w:ascii="Times New Roman;Times;serif" w:hAnsi="Times New Roman;Times;serif"/>
                <w:sz w:val="18"/>
              </w:rPr>
              <w:t> </w:t>
            </w:r>
          </w:p>
        </w:tc>
        <w:tc>
          <w:tcPr>
            <w:tcW w:w="451" w:type="dxa"/>
            <w:tcBorders/>
            <w:vAlign w:val="center"/>
          </w:tcPr>
          <w:p>
            <w:pPr>
              <w:pStyle w:val="TableContents"/>
              <w:bidi w:val="0"/>
              <w:spacing w:before="0" w:after="0"/>
              <w:ind w:left="0" w:right="0" w:hanging="0"/>
              <w:jc w:val="center"/>
              <w:rPr/>
            </w:pPr>
            <w:r>
              <w:rPr/>
              <w:t>      </w:t>
            </w:r>
          </w:p>
        </w:tc>
        <w:tc>
          <w:tcPr>
            <w:tcW w:w="1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Trading Symbol</w:t>
            </w:r>
            <w:r>
              <w:rPr>
                <w:rFonts w:ascii="Times New Roman;Times;serif" w:hAnsi="Times New Roman;Times;serif"/>
                <w:sz w:val="18"/>
              </w:rPr>
              <w:t> </w:t>
            </w:r>
          </w:p>
        </w:tc>
        <w:tc>
          <w:tcPr>
            <w:tcW w:w="346" w:type="dxa"/>
            <w:tcBorders/>
            <w:vAlign w:val="center"/>
          </w:tcPr>
          <w:p>
            <w:pPr>
              <w:pStyle w:val="TableContents"/>
              <w:bidi w:val="0"/>
              <w:spacing w:before="0" w:after="0"/>
              <w:ind w:left="0" w:right="0" w:hanging="0"/>
              <w:jc w:val="center"/>
              <w:rPr/>
            </w:pPr>
            <w:r>
              <w:rPr/>
              <w:t>  ​ ​ ​</w:t>
            </w:r>
          </w:p>
        </w:tc>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Name of each exchange on which registered:</w:t>
            </w:r>
            <w:r>
              <w:rPr>
                <w:rFonts w:ascii="Times New Roman;Times;serif" w:hAnsi="Times New Roman;Times;serif"/>
                <w:sz w:val="18"/>
              </w:rPr>
              <w:t> </w:t>
            </w:r>
          </w:p>
        </w:tc>
      </w:tr>
      <w:tr>
        <w:trPr/>
        <w:tc>
          <w:tcPr>
            <w:tcW w:w="3256"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Common stock, $0.0001 par value per share</w:t>
            </w:r>
          </w:p>
        </w:tc>
        <w:tc>
          <w:tcPr>
            <w:tcW w:w="451" w:type="dxa"/>
            <w:tcBorders/>
            <w:vAlign w:val="center"/>
          </w:tcPr>
          <w:p>
            <w:pPr>
              <w:pStyle w:val="TableContents"/>
              <w:bidi w:val="0"/>
              <w:spacing w:before="0" w:after="0"/>
              <w:ind w:left="0" w:right="0" w:hanging="0"/>
              <w:jc w:val="left"/>
              <w:rPr/>
            </w:pPr>
            <w:r>
              <w:rPr/>
              <w:t> </w:t>
            </w:r>
          </w:p>
        </w:tc>
        <w:tc>
          <w:tcPr>
            <w:tcW w:w="14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JCAP</w:t>
            </w:r>
          </w:p>
        </w:tc>
        <w:tc>
          <w:tcPr>
            <w:tcW w:w="346" w:type="dxa"/>
            <w:tcBorders/>
            <w:vAlign w:val="center"/>
          </w:tcPr>
          <w:p>
            <w:pPr>
              <w:pStyle w:val="TableContents"/>
              <w:bidi w:val="0"/>
              <w:spacing w:before="0" w:after="0"/>
              <w:ind w:left="0" w:right="0" w:hanging="0"/>
              <w:jc w:val="left"/>
              <w:rPr/>
            </w:pPr>
            <w:r>
              <w:rPr/>
              <w:t> </w:t>
            </w:r>
          </w:p>
        </w:tc>
        <w:tc>
          <w:tcPr>
            <w:tcW w:w="34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Select Market</w:t>
            </w:r>
          </w:p>
        </w:tc>
      </w:tr>
      <w:tr>
        <w:trPr/>
        <w:tc>
          <w:tcPr>
            <w:tcW w:w="3256" w:type="dxa"/>
            <w:tcBorders/>
            <w:vAlign w:val="center"/>
          </w:tcPr>
          <w:p>
            <w:pPr>
              <w:pStyle w:val="TableContents"/>
              <w:pBdr/>
              <w:bidi w:val="0"/>
              <w:spacing w:before="100" w:after="100"/>
              <w:ind w:left="0" w:right="0" w:hanging="0"/>
              <w:jc w:val="center"/>
              <w:rPr/>
            </w:pPr>
            <w:r>
              <w:rPr/>
              <w:t>​</w:t>
            </w:r>
          </w:p>
        </w:tc>
        <w:tc>
          <w:tcPr>
            <w:tcW w:w="451" w:type="dxa"/>
            <w:tcBorders/>
            <w:vAlign w:val="center"/>
          </w:tcPr>
          <w:p>
            <w:pPr>
              <w:pStyle w:val="TableContents"/>
              <w:bidi w:val="0"/>
              <w:spacing w:before="100" w:after="100"/>
              <w:ind w:left="0" w:right="0" w:hanging="0"/>
              <w:jc w:val="left"/>
              <w:rPr/>
            </w:pPr>
            <w:r>
              <w:rPr/>
              <w:t>​</w:t>
            </w:r>
          </w:p>
        </w:tc>
        <w:tc>
          <w:tcPr>
            <w:tcW w:w="1411" w:type="dxa"/>
            <w:tcBorders/>
            <w:vAlign w:val="center"/>
          </w:tcPr>
          <w:p>
            <w:pPr>
              <w:pStyle w:val="TableContents"/>
              <w:bidi w:val="0"/>
              <w:spacing w:before="100" w:after="100"/>
              <w:ind w:left="0" w:right="0" w:hanging="0"/>
              <w:jc w:val="center"/>
              <w:rPr/>
            </w:pPr>
            <w:r>
              <w:rPr/>
              <w:t>​</w:t>
            </w:r>
          </w:p>
        </w:tc>
        <w:tc>
          <w:tcPr>
            <w:tcW w:w="346" w:type="dxa"/>
            <w:tcBorders/>
            <w:vAlign w:val="center"/>
          </w:tcPr>
          <w:p>
            <w:pPr>
              <w:pStyle w:val="TableContents"/>
              <w:bidi w:val="0"/>
              <w:spacing w:before="100" w:after="100"/>
              <w:ind w:left="0" w:right="0" w:hanging="0"/>
              <w:jc w:val="left"/>
              <w:rPr/>
            </w:pPr>
            <w:r>
              <w:rPr/>
              <w:t>​</w:t>
            </w:r>
          </w:p>
        </w:tc>
        <w:tc>
          <w:tcPr>
            <w:tcW w:w="3496" w:type="dxa"/>
            <w:tcBorders/>
            <w:vAlign w:val="center"/>
          </w:tcPr>
          <w:p>
            <w:pPr>
              <w:pStyle w:val="TableContents"/>
              <w:bidi w:val="0"/>
              <w:spacing w:before="100" w:after="10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18"/>
        </w:rPr>
      </w:pPr>
      <w:r>
        <w:rPr>
          <w:rFonts w:ascii="inherit" w:hAnsi="inherit"/>
          <w:sz w:val="18"/>
        </w:rPr>
        <w:t>Indicate by check mark whether the registrant is an emerging growth company as defined in Rule 405 of the Securities Act of 1933 (§230.405 of this chapter) or Rule 12b-2 of the Securities Exchange Act of 1934 (§240.12b-2 of this chapter).</w:t>
      </w:r>
      <w:r>
        <w:rPr>
          <w:rFonts w:ascii="Times New Roman;Times;serif" w:hAnsi="Times New Roman;Times;serif"/>
          <w:sz w:val="18"/>
        </w:rPr>
        <w:t xml:space="preserv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inherit" w:hAnsi="inherit"/>
          <w:sz w:val="18"/>
        </w:rPr>
        <w:t xml:space="preserve">Emerging growth company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inherit" w:hAnsi="inherit"/>
          <w:color w:val="211D1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pBdr>
          <w:bottom w:val="single" w:sz="8" w:space="1" w:color="000000"/>
        </w:pBdr>
        <w:bidi w:val="0"/>
        <w:spacing w:lineRule="auto" w:line="343" w:before="0" w:after="0"/>
        <w:ind w:left="0" w:right="0" w:hanging="0"/>
        <w:jc w:val="left"/>
        <w:rPr>
          <w:bdr w:val="single" w:sz="24" w:space="1" w:color="000000"/>
        </w:rPr>
      </w:pPr>
      <w:r>
        <w:rPr>
          <w:bdr w:val="single" w:sz="24" w:space="1" w:color="000000"/>
        </w:rPr>
        <w:t>​</w:t>
      </w:r>
    </w:p>
    <w:p>
      <w:pPr>
        <w:pStyle w:val="TextBody"/>
        <w:bidi w:val="0"/>
        <w:spacing w:before="0" w:after="100"/>
        <w:ind w:left="0" w:right="0" w:hanging="0"/>
        <w:jc w:val="left"/>
        <w:rPr/>
      </w:pPr>
      <w:r>
        <w:rPr/>
        <w:t>​</w:t>
      </w:r>
    </w:p>
    <w:p>
      <w:pPr>
        <w:pStyle w:val="TextBody"/>
        <w:bidi w:val="0"/>
        <w:spacing w:before="480" w:after="0"/>
        <w:ind w:left="0" w:right="0" w:hanging="0"/>
        <w:jc w:val="center"/>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Item 2.02           Results of Operations and Financial Condition.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13, 2026, Jefferson Capital, Inc. (the “Company”) announced its financial results for the quarter ended June 30, 2026. The full text of the press release issued in connection with the announcement is furnished as Exhibit 99.1 to this Current Report on Form 8-K. The information contained in Item 2.02 of this Current Report on Form 8-K (including Exhibit 99.1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provided by specific reference in such a filing.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 w:name="_8943a586_8c2a_4702_9471_626e25fb91fb"/>
      <w:bookmarkEnd w:id="11"/>
      <w:r>
        <w:rPr>
          <w:rFonts w:ascii="Times New Roman;Times;serif" w:hAnsi="Times New Roman;Times;serif"/>
          <w:b/>
          <w:sz w:val="20"/>
        </w:rPr>
        <w:t>Item 9.01           Financial Statements and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Exhibit 99.1 shall be deemed to be furnished, and not filed:</w:t>
      </w:r>
    </w:p>
    <w:tbl>
      <w:tblPr>
        <w:tblW w:w="7682" w:type="dxa"/>
        <w:jc w:val="left"/>
        <w:tblInd w:w="0" w:type="dxa"/>
        <w:tblLayout w:type="fixed"/>
        <w:tblCellMar>
          <w:top w:w="0" w:type="dxa"/>
          <w:left w:w="0" w:type="dxa"/>
          <w:bottom w:w="0" w:type="dxa"/>
          <w:right w:w="0" w:type="dxa"/>
        </w:tblCellMar>
      </w:tblPr>
      <w:tblGrid>
        <w:gridCol w:w="1081"/>
        <w:gridCol w:w="6601"/>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p>
        </w:tc>
        <w:tc>
          <w:tcPr>
            <w:tcW w:w="6601" w:type="dxa"/>
            <w:tcBorders/>
            <w:vAlign w:val="center"/>
          </w:tcPr>
          <w:p>
            <w:pPr>
              <w:pStyle w:val="TableContents"/>
              <w:bidi w:val="0"/>
              <w:spacing w:before="0" w:after="283"/>
              <w:ind w:left="0" w:right="0" w:hanging="0"/>
              <w:jc w:val="left"/>
              <w:rPr>
                <w:sz w:val="4"/>
                <w:szCs w:val="4"/>
              </w:rPr>
            </w:pPr>
            <w:r>
              <w:rPr>
                <w:sz w:val="4"/>
                <w:szCs w:val="4"/>
              </w:rPr>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Exhibit No.</w:t>
            </w:r>
          </w:p>
        </w:tc>
        <w:tc>
          <w:tcPr>
            <w:tcW w:w="66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99.1</w:t>
            </w:r>
          </w:p>
        </w:tc>
        <w:tc>
          <w:tcPr>
            <w:tcW w:w="66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pPr>
            <w:hyperlink w:anchor="jcap-20260813xex99d1.htm">
              <w:r>
                <w:rPr>
                  <w:rStyle w:val="InternetLink"/>
                  <w:rFonts w:ascii="Times New Roman;Times;serif" w:hAnsi="Times New Roman;Times;serif"/>
                  <w:b w:val="false"/>
                  <w:i w:val="false"/>
                  <w:caps w:val="false"/>
                  <w:smallCaps w:val="false"/>
                  <w:sz w:val="20"/>
                </w:rPr>
                <w:t>Press release issued on August 13, 2026</w:t>
              </w:r>
            </w:hyperlink>
          </w:p>
        </w:tc>
      </w:tr>
      <w:tr>
        <w:trPr/>
        <w:tc>
          <w:tcPr>
            <w:tcW w:w="108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104</w:t>
            </w:r>
          </w:p>
        </w:tc>
        <w:tc>
          <w:tcPr>
            <w:tcW w:w="660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pBdr/>
        <w:bidi w:val="0"/>
        <w:spacing w:before="0" w:after="0"/>
        <w:ind w:left="720" w:right="0" w:hanging="144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240"/>
        <w:ind w:left="0" w:right="0" w:hanging="0"/>
        <w:jc w:val="center"/>
        <w:rPr>
          <w:rFonts w:ascii="Times New Roman;Times;serif" w:hAnsi="Times New Roman;Times;serif"/>
          <w:b/>
          <w:sz w:val="20"/>
        </w:rPr>
      </w:pPr>
      <w:bookmarkStart w:id="12" w:name="_2fa7f823_7526_4f80_86cc_a1fe008811af"/>
      <w:bookmarkEnd w:id="12"/>
      <w:r>
        <w:rPr>
          <w:rFonts w:ascii="Times New Roman;Times;serif" w:hAnsi="Times New Roman;Times;serif"/>
          <w:b/>
          <w:sz w:val="20"/>
        </w:rPr>
        <w:t>SIGNATURES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4457" w:type="dxa"/>
        <w:jc w:val="left"/>
        <w:tblInd w:w="0" w:type="dxa"/>
        <w:tblLayout w:type="fixed"/>
        <w:tblCellMar>
          <w:top w:w="0" w:type="dxa"/>
          <w:left w:w="0" w:type="dxa"/>
          <w:bottom w:w="0" w:type="dxa"/>
          <w:right w:w="0" w:type="dxa"/>
        </w:tblCellMar>
      </w:tblPr>
      <w:tblGrid>
        <w:gridCol w:w="1951"/>
        <w:gridCol w:w="2506"/>
      </w:tblGrid>
      <w:tr>
        <w:trPr/>
        <w:tc>
          <w:tcPr>
            <w:tcW w:w="195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Jefferson Capital, Inc.</w:t>
            </w:r>
          </w:p>
        </w:tc>
      </w:tr>
      <w:tr>
        <w:trPr/>
        <w:tc>
          <w:tcPr>
            <w:tcW w:w="195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250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25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By: </w:t>
            </w:r>
            <w:r>
              <w:rPr>
                <w:rFonts w:ascii="Times New Roman;Times;serif" w:hAnsi="Times New Roman;Times;serif"/>
                <w:i/>
                <w:sz w:val="20"/>
              </w:rPr>
              <w:t xml:space="preserve">/s/ </w:t>
            </w:r>
            <w:r>
              <w:rPr>
                <w:rFonts w:ascii="Times New Roman;Times;serif" w:hAnsi="Times New Roman;Times;serif"/>
                <w:sz w:val="20"/>
              </w:rPr>
              <w:t>Christo Realov</w:t>
            </w:r>
          </w:p>
        </w:tc>
      </w:tr>
      <w:tr>
        <w:trPr/>
        <w:tc>
          <w:tcPr>
            <w:tcW w:w="1951" w:type="dxa"/>
            <w:tcBorders/>
            <w:vAlign w:val="center"/>
          </w:tcPr>
          <w:p>
            <w:pPr>
              <w:pStyle w:val="TableContents"/>
              <w:bidi w:val="0"/>
              <w:spacing w:before="0" w:after="0"/>
              <w:ind w:left="0" w:right="0" w:hanging="0"/>
              <w:jc w:val="left"/>
              <w:rPr/>
            </w:pPr>
            <w:r>
              <w:rPr/>
              <w:t>​</w:t>
            </w:r>
          </w:p>
        </w:tc>
        <w:tc>
          <w:tcPr>
            <w:tcW w:w="250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Christo Realov</w:t>
            </w:r>
          </w:p>
        </w:tc>
      </w:tr>
      <w:tr>
        <w:trPr/>
        <w:tc>
          <w:tcPr>
            <w:tcW w:w="1951"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0" w:hanging="0"/>
        <w:jc w:val="left"/>
        <w:rPr/>
      </w:pPr>
      <w:bookmarkStart w:id="13" w:name="jcap-20260813xex99d1.htm"/>
      <w:bookmarkStart w:id="14" w:name="ksjcap20260813xex99d1"/>
      <w:bookmarkEnd w:id="13"/>
      <w:bookmarkEnd w:id="14"/>
      <w:r>
        <w:rPr/>
        <w:drawing>
          <wp:inline distT="0" distB="0" distL="0" distR="0">
            <wp:extent cx="1196340"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196340" cy="457200"/>
                    </a:xfrm>
                    <a:prstGeom prst="rect">
                      <a:avLst/>
                    </a:prstGeom>
                  </pic:spPr>
                </pic:pic>
              </a:graphicData>
            </a:graphic>
          </wp:inline>
        </w:drawing>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Jefferson Capital Reports Second Quarter 2026 Results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Collections Grow 18% to $300.9 Million and Deployments grow 21% to $152.2 Million</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Estimated Remaining Collections (“ERC”) up 18% to $3.4 Billion</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Pre-tax Income of $53.3 Million with Net Income of $41.3 Million and EPS of $0.67</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Adjusted Pre-tax Income of $59.3 Million with Adjusted Net Income of $47.3 Million and Adjusted EPS of $0.77</w:t>
      </w:r>
    </w:p>
    <w:p>
      <w:pPr>
        <w:pStyle w:val="TextBody"/>
        <w:bidi w:val="0"/>
        <w:spacing w:lineRule="auto" w:line="285" w:before="0" w:after="0"/>
        <w:ind w:left="0" w:right="0" w:hanging="0"/>
        <w:jc w:val="center"/>
        <w:rPr>
          <w:rFonts w:ascii="Times New Roman;Times;serif" w:hAnsi="Times New Roman;Times;serif"/>
          <w:b/>
          <w:i/>
          <w:sz w:val="20"/>
        </w:rPr>
      </w:pPr>
      <w:r>
        <w:rPr>
          <w:rFonts w:ascii="Times New Roman;Times;serif" w:hAnsi="Times New Roman;Times;serif"/>
          <w:b/>
          <w:i/>
          <w:sz w:val="20"/>
        </w:rPr>
        <w:t>Board of Directors Declares Quarterly Cash Dividend of $0.24 per Share</w:t>
      </w:r>
    </w:p>
    <w:p>
      <w:pPr>
        <w:pStyle w:val="TextBody"/>
        <w:bidi w:val="0"/>
        <w:spacing w:lineRule="auto" w:line="331" w:before="0" w:after="16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b/>
          <w:sz w:val="20"/>
        </w:rPr>
        <w:t>MINNEAPOLIS, August 13, 2026 /GLOBE NEWSWIRE/ -- Jefferson Capital, Inc. (“Jefferson Capital”)</w:t>
      </w:r>
      <w:r>
        <w:rPr>
          <w:rFonts w:ascii="Times New Roman;Times;serif" w:hAnsi="Times New Roman;Times;serif"/>
          <w:sz w:val="20"/>
        </w:rPr>
        <w:t xml:space="preserve">, a leading analytically driven purchaser and manager of charged-off, insolvency and active consumer accounts, today announced its second quarter 2026 financial results.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r>
        <w:rPr>
          <w:rFonts w:ascii="Times New Roman;Times;serif" w:hAnsi="Times New Roman;Times;serif"/>
          <w:sz w:val="20"/>
        </w:rPr>
        <w:t>Jefferson Capital delivered excellent performance for the quarter with consistent momentum across all key aspects of the business,” said David Burton, Chairman and Chief Executive Officer. “We continue to execute well on our differentiated strategy and remain well positioned to drive shareholder value in the near and long term. ”</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pPr>
      <w:r>
        <w:rPr/>
        <w:t>“</w:t>
      </w:r>
      <w:r>
        <w:rPr>
          <w:rFonts w:ascii="Times New Roman;Times;serif" w:hAnsi="Times New Roman;Times;serif"/>
          <w:sz w:val="20"/>
        </w:rPr>
        <w:t>The investment environment remains favorable.  We are particularly focused on auto finance where record high balances and credit quality headwinds continue to drive growing portfolio supply. We are one of the very few industry participants which can offer solutions across the spectrum of performing, charged-off and insolvency auto finance portfolios for both secured and unsecured accounts.”</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Second Quarter 2026 Highlights (vs. Second Quarter 2025)</w:t>
      </w:r>
    </w:p>
    <w:tbl>
      <w:tblPr>
        <w:tblW w:w="3505" w:type="dxa"/>
        <w:jc w:val="left"/>
        <w:tblInd w:w="0" w:type="dxa"/>
        <w:tblLayout w:type="fixed"/>
        <w:tblCellMar>
          <w:top w:w="0" w:type="dxa"/>
          <w:left w:w="0" w:type="dxa"/>
          <w:bottom w:w="0" w:type="dxa"/>
          <w:right w:w="0" w:type="dxa"/>
        </w:tblCellMar>
      </w:tblPr>
      <w:tblGrid>
        <w:gridCol w:w="170"/>
        <w:gridCol w:w="3335"/>
      </w:tblGrid>
      <w:tr>
        <w:trPr/>
        <w:tc>
          <w:tcPr>
            <w:tcW w:w="170" w:type="dxa"/>
            <w:tcBorders/>
            <w:vAlign w:val="center"/>
          </w:tcPr>
          <w:p>
            <w:pPr>
              <w:pStyle w:val="TableContents"/>
              <w:bidi w:val="0"/>
              <w:spacing w:before="0" w:after="283"/>
              <w:jc w:val="left"/>
              <w:rPr/>
            </w:pPr>
            <w:r>
              <w:rPr/>
              <w:t>●</w:t>
            </w:r>
          </w:p>
        </w:tc>
        <w:tc>
          <w:tcPr>
            <w:tcW w:w="3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Collections grew 18% to $300.9 million </w:t>
            </w:r>
          </w:p>
        </w:tc>
      </w:tr>
    </w:tbl>
    <w:tbl>
      <w:tblPr>
        <w:tblW w:w="3415" w:type="dxa"/>
        <w:jc w:val="left"/>
        <w:tblInd w:w="0" w:type="dxa"/>
        <w:tblLayout w:type="fixed"/>
        <w:tblCellMar>
          <w:top w:w="0" w:type="dxa"/>
          <w:left w:w="0" w:type="dxa"/>
          <w:bottom w:w="0" w:type="dxa"/>
          <w:right w:w="0" w:type="dxa"/>
        </w:tblCellMar>
      </w:tblPr>
      <w:tblGrid>
        <w:gridCol w:w="170"/>
        <w:gridCol w:w="3245"/>
      </w:tblGrid>
      <w:tr>
        <w:trPr/>
        <w:tc>
          <w:tcPr>
            <w:tcW w:w="170" w:type="dxa"/>
            <w:tcBorders/>
            <w:vAlign w:val="center"/>
          </w:tcPr>
          <w:p>
            <w:pPr>
              <w:pStyle w:val="TableContents"/>
              <w:bidi w:val="0"/>
              <w:spacing w:before="0" w:after="283"/>
              <w:jc w:val="left"/>
              <w:rPr/>
            </w:pPr>
            <w:r>
              <w:rPr/>
              <w:t>●</w:t>
            </w:r>
          </w:p>
        </w:tc>
        <w:tc>
          <w:tcPr>
            <w:tcW w:w="3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Deployments up 21% to $152.2 million</w:t>
            </w:r>
          </w:p>
        </w:tc>
      </w:tr>
    </w:tbl>
    <w:tbl>
      <w:tblPr>
        <w:tblW w:w="2590" w:type="dxa"/>
        <w:jc w:val="left"/>
        <w:tblInd w:w="0" w:type="dxa"/>
        <w:tblLayout w:type="fixed"/>
        <w:tblCellMar>
          <w:top w:w="0" w:type="dxa"/>
          <w:left w:w="0" w:type="dxa"/>
          <w:bottom w:w="0" w:type="dxa"/>
          <w:right w:w="0" w:type="dxa"/>
        </w:tblCellMar>
      </w:tblPr>
      <w:tblGrid>
        <w:gridCol w:w="170"/>
        <w:gridCol w:w="2420"/>
      </w:tblGrid>
      <w:tr>
        <w:trPr/>
        <w:tc>
          <w:tcPr>
            <w:tcW w:w="170" w:type="dxa"/>
            <w:tcBorders/>
            <w:vAlign w:val="center"/>
          </w:tcPr>
          <w:p>
            <w:pPr>
              <w:pStyle w:val="TableContents"/>
              <w:bidi w:val="0"/>
              <w:spacing w:before="0" w:after="283"/>
              <w:jc w:val="left"/>
              <w:rPr/>
            </w:pPr>
            <w:r>
              <w:rPr/>
              <w:t>●</w:t>
            </w:r>
          </w:p>
        </w:tc>
        <w:tc>
          <w:tcPr>
            <w:tcW w:w="24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ERC rose 18% to $3.4 billion</w:t>
            </w:r>
          </w:p>
        </w:tc>
      </w:tr>
    </w:tbl>
    <w:tbl>
      <w:tblPr>
        <w:tblW w:w="4825" w:type="dxa"/>
        <w:jc w:val="left"/>
        <w:tblInd w:w="0" w:type="dxa"/>
        <w:tblLayout w:type="fixed"/>
        <w:tblCellMar>
          <w:top w:w="0" w:type="dxa"/>
          <w:left w:w="0" w:type="dxa"/>
          <w:bottom w:w="0" w:type="dxa"/>
          <w:right w:w="0" w:type="dxa"/>
        </w:tblCellMar>
      </w:tblPr>
      <w:tblGrid>
        <w:gridCol w:w="170"/>
        <w:gridCol w:w="4655"/>
      </w:tblGrid>
      <w:tr>
        <w:trPr/>
        <w:tc>
          <w:tcPr>
            <w:tcW w:w="170" w:type="dxa"/>
            <w:tcBorders/>
            <w:vAlign w:val="center"/>
          </w:tcPr>
          <w:p>
            <w:pPr>
              <w:pStyle w:val="TableContents"/>
              <w:bidi w:val="0"/>
              <w:spacing w:before="0" w:after="283"/>
              <w:jc w:val="left"/>
              <w:rPr/>
            </w:pPr>
            <w:r>
              <w:rPr/>
              <w:t>●</w:t>
            </w:r>
          </w:p>
        </w:tc>
        <w:tc>
          <w:tcPr>
            <w:tcW w:w="4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Strong revenue growth of 16% to a record $177.5 million</w:t>
            </w:r>
          </w:p>
        </w:tc>
      </w:tr>
    </w:tbl>
    <w:tbl>
      <w:tblPr>
        <w:tblW w:w="3985" w:type="dxa"/>
        <w:jc w:val="left"/>
        <w:tblInd w:w="0" w:type="dxa"/>
        <w:tblLayout w:type="fixed"/>
        <w:tblCellMar>
          <w:top w:w="0" w:type="dxa"/>
          <w:left w:w="0" w:type="dxa"/>
          <w:bottom w:w="0" w:type="dxa"/>
          <w:right w:w="0" w:type="dxa"/>
        </w:tblCellMar>
      </w:tblPr>
      <w:tblGrid>
        <w:gridCol w:w="170"/>
        <w:gridCol w:w="3815"/>
      </w:tblGrid>
      <w:tr>
        <w:trPr/>
        <w:tc>
          <w:tcPr>
            <w:tcW w:w="170" w:type="dxa"/>
            <w:tcBorders/>
            <w:vAlign w:val="center"/>
          </w:tcPr>
          <w:p>
            <w:pPr>
              <w:pStyle w:val="TableContents"/>
              <w:bidi w:val="0"/>
              <w:spacing w:before="0" w:after="283"/>
              <w:jc w:val="left"/>
              <w:rPr/>
            </w:pPr>
            <w:r>
              <w:rPr/>
              <w:t>●</w:t>
            </w:r>
          </w:p>
        </w:tc>
        <w:tc>
          <w:tcPr>
            <w:tcW w:w="3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Sector-leading Cash Efficiency Ratio of 72.2%</w:t>
            </w:r>
          </w:p>
        </w:tc>
      </w:tr>
    </w:tbl>
    <w:tbl>
      <w:tblPr>
        <w:tblW w:w="4780" w:type="dxa"/>
        <w:jc w:val="left"/>
        <w:tblInd w:w="0" w:type="dxa"/>
        <w:tblLayout w:type="fixed"/>
        <w:tblCellMar>
          <w:top w:w="0" w:type="dxa"/>
          <w:left w:w="0" w:type="dxa"/>
          <w:bottom w:w="0" w:type="dxa"/>
          <w:right w:w="0" w:type="dxa"/>
        </w:tblCellMar>
      </w:tblPr>
      <w:tblGrid>
        <w:gridCol w:w="170"/>
        <w:gridCol w:w="4610"/>
      </w:tblGrid>
      <w:tr>
        <w:trPr/>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ratio* improved to 1.71x as compared to 1.76x</w:t>
            </w:r>
          </w:p>
        </w:tc>
      </w:tr>
    </w:tbl>
    <w:tbl>
      <w:tblPr>
        <w:tblW w:w="6955" w:type="dxa"/>
        <w:jc w:val="left"/>
        <w:tblInd w:w="0" w:type="dxa"/>
        <w:tblLayout w:type="fixed"/>
        <w:tblCellMar>
          <w:top w:w="0" w:type="dxa"/>
          <w:left w:w="0" w:type="dxa"/>
          <w:bottom w:w="0" w:type="dxa"/>
          <w:right w:w="0" w:type="dxa"/>
        </w:tblCellMar>
      </w:tblPr>
      <w:tblGrid>
        <w:gridCol w:w="170"/>
        <w:gridCol w:w="6785"/>
      </w:tblGrid>
      <w:tr>
        <w:trPr/>
        <w:tc>
          <w:tcPr>
            <w:tcW w:w="170" w:type="dxa"/>
            <w:tcBorders/>
            <w:vAlign w:val="center"/>
          </w:tcPr>
          <w:p>
            <w:pPr>
              <w:pStyle w:val="TableContents"/>
              <w:bidi w:val="0"/>
              <w:spacing w:before="0" w:after="283"/>
              <w:jc w:val="left"/>
              <w:rPr/>
            </w:pPr>
            <w:r>
              <w:rPr/>
              <w:t>●</w:t>
            </w:r>
          </w:p>
        </w:tc>
        <w:tc>
          <w:tcPr>
            <w:tcW w:w="67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Pre-tax Income of $53.3 million with Net Income of $41.3 million and EPS of $0.67</w:t>
            </w:r>
          </w:p>
        </w:tc>
      </w:tr>
    </w:tbl>
    <w:tbl>
      <w:tblPr>
        <w:tblW w:w="9505" w:type="dxa"/>
        <w:jc w:val="left"/>
        <w:tblInd w:w="0" w:type="dxa"/>
        <w:tblLayout w:type="fixed"/>
        <w:tblCellMar>
          <w:top w:w="0" w:type="dxa"/>
          <w:left w:w="0" w:type="dxa"/>
          <w:bottom w:w="0" w:type="dxa"/>
          <w:right w:w="0" w:type="dxa"/>
        </w:tblCellMar>
      </w:tblPr>
      <w:tblGrid>
        <w:gridCol w:w="170"/>
        <w:gridCol w:w="9335"/>
      </w:tblGrid>
      <w:tr>
        <w:trPr/>
        <w:tc>
          <w:tcPr>
            <w:tcW w:w="170" w:type="dxa"/>
            <w:tcBorders/>
            <w:vAlign w:val="center"/>
          </w:tcPr>
          <w:p>
            <w:pPr>
              <w:pStyle w:val="TableContents"/>
              <w:bidi w:val="0"/>
              <w:spacing w:before="0" w:after="283"/>
              <w:jc w:val="left"/>
              <w:rPr/>
            </w:pPr>
            <w:r>
              <w:rPr/>
              <w:t>●</w:t>
            </w:r>
          </w:p>
        </w:tc>
        <w:tc>
          <w:tcPr>
            <w:tcW w:w="9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Pre-tax Income* of $59.3 million with Adjusted Net Income* of $47.3 million and Adjusted EPS of $0.77</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b/>
          <w:i/>
          <w:sz w:val="20"/>
        </w:rPr>
      </w:pPr>
      <w:r>
        <w:rPr>
          <w:rFonts w:ascii="Times New Roman;Times;serif" w:hAnsi="Times New Roman;Times;serif"/>
          <w:b/>
          <w:i/>
          <w:sz w:val="20"/>
        </w:rPr>
        <w:t>Collections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total collections by geographic area:</w:t>
      </w:r>
    </w:p>
    <w:p>
      <w:pPr>
        <w:pStyle w:val="TextBody"/>
        <w:bidi w:val="0"/>
        <w:spacing w:lineRule="auto" w:line="285" w:before="0" w:after="0"/>
        <w:ind w:left="0" w:right="0" w:hanging="0"/>
        <w:jc w:val="left"/>
        <w:rPr/>
      </w:pPr>
      <w:r>
        <w:rPr/>
        <w:t>​</w:t>
      </w:r>
    </w:p>
    <w:tbl>
      <w:tblPr>
        <w:tblW w:w="6401" w:type="dxa"/>
        <w:jc w:val="left"/>
        <w:tblInd w:w="0" w:type="dxa"/>
        <w:tblLayout w:type="fixed"/>
        <w:tblCellMar>
          <w:top w:w="0" w:type="dxa"/>
          <w:left w:w="0" w:type="dxa"/>
          <w:bottom w:w="0" w:type="dxa"/>
          <w:right w:w="0" w:type="dxa"/>
        </w:tblCellMar>
      </w:tblPr>
      <w:tblGrid>
        <w:gridCol w:w="1576"/>
        <w:gridCol w:w="346"/>
        <w:gridCol w:w="211"/>
        <w:gridCol w:w="571"/>
        <w:gridCol w:w="346"/>
        <w:gridCol w:w="211"/>
        <w:gridCol w:w="571"/>
        <w:gridCol w:w="346"/>
        <w:gridCol w:w="270"/>
        <w:gridCol w:w="600"/>
        <w:gridCol w:w="346"/>
        <w:gridCol w:w="661"/>
        <w:gridCol w:w="346"/>
      </w:tblGrid>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9710" cy="175260"/>
                      <wp:effectExtent l="0" t="0" r="0" b="0"/>
                      <wp:wrapNone/>
                      <wp:docPr id="5" name="Frame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6" name="Frame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2585" cy="175260"/>
                      <wp:effectExtent l="0" t="0" r="0" b="0"/>
                      <wp:wrapNone/>
                      <wp:docPr id="7" name="Frame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9"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62585" cy="175260"/>
                      <wp:effectExtent l="0" t="0" r="0" b="0"/>
                      <wp:wrapNone/>
                      <wp:docPr id="10" name="Frame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19710" cy="175260"/>
                      <wp:effectExtent l="0" t="0" r="0" b="0"/>
                      <wp:wrapNone/>
                      <wp:docPr id="11"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71450" cy="175260"/>
                      <wp:effectExtent l="0" t="0" r="0" b="0"/>
                      <wp:wrapNone/>
                      <wp:docPr id="12" name="Frame11"/>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381000" cy="175260"/>
                      <wp:effectExtent l="0" t="0" r="0" b="0"/>
                      <wp:wrapNone/>
                      <wp:docPr id="13" name="Frame12"/>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14" name="Frame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419735" cy="175260"/>
                      <wp:effectExtent l="0" t="0" r="0" b="0"/>
                      <wp:wrapNone/>
                      <wp:docPr id="15" name="Frame14"/>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19710" cy="175260"/>
                      <wp:effectExtent l="0" t="0" r="0" b="0"/>
                      <wp:wrapNone/>
                      <wp:docPr id="16"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60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87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57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lineRule="auto" w:line="285"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16.3</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6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6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57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Collections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300.9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255.7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17.7</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Collections from purchased receivables increased 17.7% or $45.2 million to $300.9 million during the second quarter of 2026 versus $255.7 million during the same quarter in 2025</w:t>
            </w:r>
          </w:p>
        </w:tc>
      </w:tr>
    </w:tbl>
    <w:p>
      <w:pPr>
        <w:pStyle w:val="TextBody"/>
        <w:bidi w:val="0"/>
        <w:spacing w:lineRule="auto" w:line="285" w:before="0" w:after="0"/>
        <w:ind w:left="0" w:right="0" w:hanging="0"/>
        <w:jc w:val="right"/>
        <w:rPr>
          <w:rFonts w:ascii="Times New Roman;Times;serif" w:hAnsi="Times New Roman;Times;serif"/>
          <w:sz w:val="24"/>
        </w:rPr>
      </w:pPr>
      <w:r>
        <w:rPr>
          <w:rFonts w:ascii="Times New Roman;Times;serif" w:hAnsi="Times New Roman;Times;serif"/>
          <w:sz w:val="24"/>
        </w:rPr>
        <w:t>1</w:t>
      </w:r>
    </w:p>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1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2" descr=""/>
                    <pic:cNvPicPr>
                      <a:picLocks noChangeAspect="1" noChangeArrowheads="1"/>
                    </pic:cNvPicPr>
                  </pic:nvPicPr>
                  <pic:blipFill>
                    <a:blip r:embed="rId3"/>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Collections in the United States included $41.0 million from the Bluestem portfolio purchase which closed in the fourth quarter of 2025</w:t>
            </w:r>
          </w:p>
        </w:tc>
      </w:tr>
    </w:tbl>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Estimated Remaining Collections</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summarizes total ERC by geographic area:</w:t>
      </w:r>
    </w:p>
    <w:tbl>
      <w:tblPr>
        <w:tblW w:w="6374" w:type="dxa"/>
        <w:jc w:val="left"/>
        <w:tblInd w:w="0" w:type="dxa"/>
        <w:tblLayout w:type="fixed"/>
        <w:tblCellMar>
          <w:top w:w="0" w:type="dxa"/>
          <w:left w:w="0" w:type="dxa"/>
          <w:bottom w:w="0" w:type="dxa"/>
          <w:right w:w="0" w:type="dxa"/>
        </w:tblCellMar>
      </w:tblPr>
      <w:tblGrid>
        <w:gridCol w:w="1486"/>
        <w:gridCol w:w="109"/>
        <w:gridCol w:w="211"/>
        <w:gridCol w:w="721"/>
        <w:gridCol w:w="346"/>
        <w:gridCol w:w="211"/>
        <w:gridCol w:w="721"/>
        <w:gridCol w:w="346"/>
        <w:gridCol w:w="234"/>
        <w:gridCol w:w="636"/>
        <w:gridCol w:w="346"/>
        <w:gridCol w:w="661"/>
        <w:gridCol w:w="346"/>
      </w:tblGrid>
      <w:tr>
        <w:trPr/>
        <w:tc>
          <w:tcPr>
            <w:tcW w:w="1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9215" cy="175260"/>
                      <wp:effectExtent l="0" t="0" r="0" b="0"/>
                      <wp:wrapNone/>
                      <wp:docPr id="18" name="Frame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19"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57835" cy="175260"/>
                      <wp:effectExtent l="0" t="0" r="0" b="0"/>
                      <wp:wrapNone/>
                      <wp:docPr id="20" name="Frame1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1"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2"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57835" cy="175260"/>
                      <wp:effectExtent l="0" t="0" r="0" b="0"/>
                      <wp:wrapNone/>
                      <wp:docPr id="23" name="Frame2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4"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48590" cy="175260"/>
                      <wp:effectExtent l="0" t="0" r="0" b="0"/>
                      <wp:wrapNone/>
                      <wp:docPr id="25" name="Frame23"/>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03860" cy="175260"/>
                      <wp:effectExtent l="0" t="0" r="0" b="0"/>
                      <wp:wrapNone/>
                      <wp:docPr id="26" name="Frame24"/>
                      <a:graphic xmlns:a="http://schemas.openxmlformats.org/drawingml/2006/main">
                        <a:graphicData uri="http://schemas.microsoft.com/office/word/2010/wordprocessingShape">
                          <wps:wsp>
                            <wps:cNvSpPr txBox="1"/>
                            <wps:spPr>
                              <a:xfrm>
                                <a:off x="0" y="0"/>
                                <a:ext cx="403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19710" cy="175260"/>
                      <wp:effectExtent l="0" t="0" r="0" b="0"/>
                      <wp:wrapNone/>
                      <wp:docPr id="27"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19735" cy="175260"/>
                      <wp:effectExtent l="0" t="0" r="0" b="0"/>
                      <wp:wrapNone/>
                      <wp:docPr id="28" name="Frame26"/>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29"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2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87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109" w:type="dxa"/>
            <w:tcBorders/>
            <w:vAlign w:val="center"/>
          </w:tcPr>
          <w:p>
            <w:pPr>
              <w:pStyle w:val="TableContents"/>
              <w:bidi w:val="0"/>
              <w:spacing w:lineRule="auto" w:line="285"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lineRule="auto" w:line="285"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2,422.5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2,101.7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420.5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348.5</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6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72.0</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20.7</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6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324.0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244.3</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3,364.2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2,852.9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511.3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17.9</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ERC in the United States included $218.2 million from the Bluestem portfolio purchase which closed in the fourth quarter 2025</w:t>
            </w:r>
          </w:p>
        </w:tc>
      </w:tr>
    </w:tbl>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Deployments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total deployments by geographic area:</w:t>
      </w:r>
    </w:p>
    <w:p>
      <w:pPr>
        <w:pStyle w:val="TextBody"/>
        <w:bidi w:val="0"/>
        <w:spacing w:lineRule="auto" w:line="285" w:before="0" w:after="0"/>
        <w:ind w:left="0" w:right="0" w:hanging="0"/>
        <w:jc w:val="left"/>
        <w:rPr/>
      </w:pPr>
      <w:r>
        <w:rPr/>
        <w:t>​</w:t>
      </w:r>
    </w:p>
    <w:tbl>
      <w:tblPr>
        <w:tblW w:w="6311" w:type="dxa"/>
        <w:jc w:val="left"/>
        <w:tblInd w:w="0" w:type="dxa"/>
        <w:tblLayout w:type="fixed"/>
        <w:tblCellMar>
          <w:top w:w="0" w:type="dxa"/>
          <w:left w:w="0" w:type="dxa"/>
          <w:bottom w:w="0" w:type="dxa"/>
          <w:right w:w="0" w:type="dxa"/>
        </w:tblCellMar>
      </w:tblPr>
      <w:tblGrid>
        <w:gridCol w:w="1486"/>
        <w:gridCol w:w="346"/>
        <w:gridCol w:w="211"/>
        <w:gridCol w:w="571"/>
        <w:gridCol w:w="346"/>
        <w:gridCol w:w="211"/>
        <w:gridCol w:w="571"/>
        <w:gridCol w:w="346"/>
        <w:gridCol w:w="270"/>
        <w:gridCol w:w="600"/>
        <w:gridCol w:w="346"/>
        <w:gridCol w:w="661"/>
        <w:gridCol w:w="346"/>
      </w:tblGrid>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19710" cy="175260"/>
                      <wp:effectExtent l="0" t="0" r="0" b="0"/>
                      <wp:wrapNone/>
                      <wp:docPr id="30"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133985" cy="175260"/>
                      <wp:effectExtent l="0" t="0" r="0" b="0"/>
                      <wp:wrapNone/>
                      <wp:docPr id="31" name="Frame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362585" cy="175260"/>
                      <wp:effectExtent l="0" t="0" r="0" b="0"/>
                      <wp:wrapNone/>
                      <wp:docPr id="32" name="Frame3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19710" cy="175260"/>
                      <wp:effectExtent l="0" t="0" r="0" b="0"/>
                      <wp:wrapNone/>
                      <wp:docPr id="33"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33985" cy="175260"/>
                      <wp:effectExtent l="0" t="0" r="0" b="0"/>
                      <wp:wrapNone/>
                      <wp:docPr id="34" name="Frame3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362585" cy="175260"/>
                      <wp:effectExtent l="0" t="0" r="0" b="0"/>
                      <wp:wrapNone/>
                      <wp:docPr id="35" name="Frame3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9710" cy="175260"/>
                      <wp:effectExtent l="0" t="0" r="0" b="0"/>
                      <wp:wrapNone/>
                      <wp:docPr id="36" name="Frame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71450" cy="175260"/>
                      <wp:effectExtent l="0" t="0" r="0" b="0"/>
                      <wp:wrapNone/>
                      <wp:docPr id="37" name="Frame3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81000" cy="175260"/>
                      <wp:effectExtent l="0" t="0" r="0" b="0"/>
                      <wp:wrapNone/>
                      <wp:docPr id="38" name="Frame36"/>
                      <a:graphic xmlns:a="http://schemas.openxmlformats.org/drawingml/2006/main">
                        <a:graphicData uri="http://schemas.microsoft.com/office/word/2010/wordprocessingShape">
                          <wps:wsp>
                            <wps:cNvSpPr txBox="1"/>
                            <wps:spPr>
                              <a:xfrm>
                                <a:off x="0" y="0"/>
                                <a:ext cx="3810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19710" cy="175260"/>
                      <wp:effectExtent l="0" t="0" r="0" b="0"/>
                      <wp:wrapNone/>
                      <wp:docPr id="39" name="Frame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419735" cy="175260"/>
                      <wp:effectExtent l="0" t="0" r="0" b="0"/>
                      <wp:wrapNone/>
                      <wp:docPr id="40" name="Frame38"/>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19710" cy="175260"/>
                      <wp:effectExtent l="0" t="0" r="0" b="0"/>
                      <wp:wrapNone/>
                      <wp:docPr id="41" name="Frame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600"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87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7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46" w:type="dxa"/>
            <w:tcBorders/>
            <w:vAlign w:val="center"/>
          </w:tcPr>
          <w:p>
            <w:pPr>
              <w:pStyle w:val="TableContents"/>
              <w:bidi w:val="0"/>
              <w:spacing w:lineRule="auto" w:line="285"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Canada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vAlign w:val="center"/>
          </w:tcPr>
          <w:p>
            <w:pPr>
              <w:pStyle w:val="TableContents"/>
              <w:bidi w:val="0"/>
              <w:spacing w:lineRule="auto" w:line="285" w:before="0" w:after="0"/>
              <w:ind w:left="0" w:right="0" w:hanging="0"/>
              <w:jc w:val="left"/>
              <w:rPr/>
            </w:pPr>
            <w:r>
              <w:rPr/>
              <w:t>​</w:t>
            </w:r>
          </w:p>
        </w:tc>
        <w:tc>
          <w:tcPr>
            <w:tcW w:w="60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pPr>
            <w:r>
              <w:rPr/>
              <w:t>​</w:t>
            </w:r>
          </w:p>
        </w:tc>
        <w:tc>
          <w:tcPr>
            <w:tcW w:w="60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46.8</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Latin America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00"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46" w:type="dxa"/>
            <w:tcBorders/>
            <w:vAlign w:val="center"/>
          </w:tcPr>
          <w:p>
            <w:pPr>
              <w:pStyle w:val="TableContents"/>
              <w:bidi w:val="0"/>
              <w:spacing w:lineRule="auto" w:line="285" w:before="0" w:after="0"/>
              <w:ind w:left="0" w:right="0" w:hanging="0"/>
              <w:jc w:val="left"/>
              <w:rPr/>
            </w:pPr>
            <w:r>
              <w:rPr/>
              <w:t>​</w:t>
            </w:r>
          </w:p>
        </w:tc>
        <w:tc>
          <w:tcPr>
            <w:tcW w:w="6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4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Purchases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152.2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125.3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0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26.9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6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21.5</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invested $152.2 million during the quarter to acquire receivable portfolios, up 21.5% compared to $125.3 million in the second quarter 2025</w:t>
            </w:r>
          </w:p>
        </w:tc>
      </w:tr>
    </w:tbl>
    <w:tbl>
      <w:tblPr>
        <w:tblW w:w="6850" w:type="dxa"/>
        <w:jc w:val="left"/>
        <w:tblInd w:w="0" w:type="dxa"/>
        <w:tblLayout w:type="fixed"/>
        <w:tblCellMar>
          <w:top w:w="0" w:type="dxa"/>
          <w:left w:w="0" w:type="dxa"/>
          <w:bottom w:w="0" w:type="dxa"/>
          <w:right w:w="0" w:type="dxa"/>
        </w:tblCellMar>
      </w:tblPr>
      <w:tblGrid>
        <w:gridCol w:w="170"/>
        <w:gridCol w:w="6680"/>
      </w:tblGrid>
      <w:tr>
        <w:trPr/>
        <w:tc>
          <w:tcPr>
            <w:tcW w:w="170" w:type="dxa"/>
            <w:tcBorders/>
            <w:vAlign w:val="center"/>
          </w:tcPr>
          <w:p>
            <w:pPr>
              <w:pStyle w:val="TableContents"/>
              <w:bidi w:val="0"/>
              <w:spacing w:before="0" w:after="283"/>
              <w:jc w:val="left"/>
              <w:rPr/>
            </w:pPr>
            <w:r>
              <w:rPr/>
              <w:t>●</w:t>
            </w:r>
          </w:p>
        </w:tc>
        <w:tc>
          <w:tcPr>
            <w:tcW w:w="66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Company had $480.7 million in committed forward flows</w:t>
            </w:r>
          </w:p>
        </w:tc>
      </w:tr>
    </w:tbl>
    <w:p>
      <w:pPr>
        <w:pStyle w:val="TextBody"/>
        <w:bidi w:val="0"/>
        <w:spacing w:lineRule="auto" w:line="285" w:before="120" w:after="0"/>
        <w:ind w:left="0" w:right="0" w:hanging="0"/>
        <w:jc w:val="left"/>
        <w:rPr>
          <w:rFonts w:ascii="Times New Roman;Times;serif" w:hAnsi="Times New Roman;Times;serif"/>
          <w:b/>
          <w:i/>
          <w:sz w:val="20"/>
        </w:rPr>
      </w:pPr>
      <w:r>
        <w:rPr>
          <w:rFonts w:ascii="Times New Roman;Times;serif" w:hAnsi="Times New Roman;Times;serif"/>
          <w:b/>
          <w:i/>
          <w:sz w:val="20"/>
        </w:rPr>
        <w:t xml:space="preserve">Revenues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Total revenues increased $24.8 million for the quarter, or 16.2%, to $177.5 million compared to $152.7 million for the second quarter 2025. The growth was primarily the result of strong deployments in prior periods </w:t>
            </w:r>
          </w:p>
        </w:tc>
      </w:tr>
    </w:tbl>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increased $29.9 million, or 45.6% to $95.4 million compared to $65.5 million for the second quarter 2025.  The increase was primarily due to a $21.3 million rise in servicing expenses driven by increased collections, including $9.3 million in higher court costs from increased legal channel volume, and $3.9 million related to the Bluestem portfolio purchase as well as $8.3 million in non-cash stock-based compensation expense</w:t>
            </w:r>
          </w:p>
        </w:tc>
      </w:tr>
    </w:tbl>
    <w:p>
      <w:pPr>
        <w:pStyle w:val="TextBody"/>
        <w:bidi w:val="0"/>
        <w:spacing w:lineRule="auto" w:line="331" w:before="0" w:after="160"/>
        <w:ind w:left="274"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second quarter 2026, the Company recognized portfolio revenue of $11.0 million and net operating income of $7.1 million related to the Bluestem portfolio purchase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 descr=""/>
                    <pic:cNvPicPr>
                      <a:picLocks noChangeAspect="1" noChangeArrowheads="1"/>
                    </pic:cNvPicPr>
                  </pic:nvPicPr>
                  <pic:blipFill>
                    <a:blip r:embed="rId4"/>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Leverage Ratio, Liquidity and Capital Resources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Leverage ratio* improved to 1.71x at June 30, 2026 compared to 1.76x at June 30, 2025 as a result of strong growth in portfolio cashflow</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22, 2026 Jefferson Capital completed an upsize of its Revolving Credit Facility (“RCF”) increasing aggregate commitments to $1.15 billion. </w:t>
            </w:r>
          </w:p>
        </w:tc>
      </w:tr>
    </w:tbl>
    <w:tbl>
      <w:tblPr>
        <w:tblW w:w="5980" w:type="dxa"/>
        <w:jc w:val="left"/>
        <w:tblInd w:w="0" w:type="dxa"/>
        <w:tblLayout w:type="fixed"/>
        <w:tblCellMar>
          <w:top w:w="0" w:type="dxa"/>
          <w:left w:w="0" w:type="dxa"/>
          <w:bottom w:w="0" w:type="dxa"/>
          <w:right w:w="0" w:type="dxa"/>
        </w:tblCellMar>
      </w:tblPr>
      <w:tblGrid>
        <w:gridCol w:w="170"/>
        <w:gridCol w:w="5810"/>
      </w:tblGrid>
      <w:tr>
        <w:trPr/>
        <w:tc>
          <w:tcPr>
            <w:tcW w:w="170" w:type="dxa"/>
            <w:tcBorders/>
            <w:vAlign w:val="center"/>
          </w:tcPr>
          <w:p>
            <w:pPr>
              <w:pStyle w:val="TableContents"/>
              <w:bidi w:val="0"/>
              <w:spacing w:before="0" w:after="283"/>
              <w:jc w:val="left"/>
              <w:rPr/>
            </w:pPr>
            <w:r>
              <w:rPr/>
              <w:t>●</w:t>
            </w:r>
          </w:p>
        </w:tc>
        <w:tc>
          <w:tcPr>
            <w:tcW w:w="5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June 30, 2026, the Company had $226 million drawn under the RCF</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2026, the Company deposited $300 million with the bond trustee for the repayment of the 2026 notes expected to be repaid on August 17, 2026</w:t>
            </w:r>
          </w:p>
        </w:tc>
      </w:tr>
    </w:tbl>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Dividend</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The Board of Directors declared a quarterly cash dividend of $0.24 per share on its outstanding common stock, payable on September 3, 2026, to shareholders of record as of the close of business on August 24, 2026.</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*Leverage Ratio, Adjusted Pre-Tax Income, Adjusted Net Income and Adjusted EPS are non-GAAP financial measures. For a reconciliation of historical Leverage, Adjusted Pre-Tax Income and Adjusted Net Income, to the most directly comparable U.S. GAAP financial measures, please refer to the “Non-GAAP Financial Measures” section of this press-release.</w:t>
      </w:r>
    </w:p>
    <w:p>
      <w:pPr>
        <w:pStyle w:val="TextBody"/>
        <w:bidi w:val="0"/>
        <w:spacing w:lineRule="auto" w:line="285" w:before="0" w:after="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Webcast</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A webcast to discuss the Company’s second quarter 2026 financial results is scheduled for today, August 13, 2026 at 5:00 p.m. ET. The live webcast and archived replay can be accessed in the investor relations section of the Company's website at https://investors.jcap.com/news-events/events.</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Use of Non-GAAP Financial Measures </w:t>
      </w:r>
    </w:p>
    <w:p>
      <w:pPr>
        <w:pStyle w:val="TextBody"/>
        <w:bidi w:val="0"/>
        <w:spacing w:lineRule="auto" w:line="285" w:before="0" w:after="240"/>
        <w:ind w:left="0" w:right="0" w:hanging="0"/>
        <w:jc w:val="both"/>
        <w:rPr>
          <w:rFonts w:ascii="Times New Roman;Times;serif" w:hAnsi="Times New Roman;Times;serif"/>
          <w:sz w:val="20"/>
        </w:rPr>
      </w:pPr>
      <w:r>
        <w:rPr>
          <w:rFonts w:ascii="Times New Roman;Times;serif" w:hAnsi="Times New Roman;Times;serif"/>
          <w:sz w:val="20"/>
        </w:rPr>
        <w:t>This press release contains references to non-GAAP financial measures, including Leverage, Adjusted Pre-Tax Income, Adjusted Net Income, Cash Efficiency Ratio, Adjusted Operating Expenses and Adjusted EPS, which are financial measures that are not prepared in conformity with United States generally accepted accounting principles (U.S. GAAP). These non-GAAP measures are used by management as a supplemental measure, have certain limitations, and should not be construed as alternatives to financial measures determined in accordance with GAAP. Our management believes Leverage, Adjusted Pre-Tax Income, Adjusted Net Income and Adjusted EPS help us provide enhanced period-to-period comparability of operations and financial performance and are useful to investors as other companies in our industry report similar financial measures. The non-GAAP measures as defined by us may not be comparable to similar non-GAAP financial measures presented by other companies, which could limit such measures’ usefulness as comparative measures. Our presentation of such measures, which may include adjustments to exclude unusual or non-recurring items, should not be construed as an inference that our future results will be unaffected by other unusual or non-recurring items. Detailed reconciliations of non-GAAP financial measures to the most directly comparable GAAP financial measures are included in the financial tables following this release.</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About Jefferson Capital, Inc.</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Founded in 2002, Jefferson Capital is an analytically driven purchaser and manager of charged-off, insolvency and active consumer accounts with operations in the United States, Canada, the United Kingdom and Latin America. It purchases and services both secured and unsecured assets, and its growing client base includes Fortune 500 creditors, banks, fintech origination platforms, telecommunications providers, credit card issuers and auto finance companies. Jefferson Capital is headquartered in Minneapolis, Minnesota with additional offices and operations located in Sartell, Minnesota, Denver, Colorado and San Antonio, Texas (United States); Basingstoke, England; London, England and Paisley, Scotland (United Kingdom); London, Ontario and Toronto, Ontario (Canada); as well as Bogota (Colombia).</w:t>
      </w:r>
    </w:p>
    <w:p>
      <w:pPr>
        <w:pStyle w:val="TextBody"/>
        <w:bidi w:val="0"/>
        <w:spacing w:lineRule="auto" w:line="285" w:before="0" w:after="240"/>
        <w:ind w:left="0" w:right="0" w:hanging="0"/>
        <w:jc w:val="both"/>
        <w:rPr/>
      </w:pPr>
      <w:r>
        <w:rPr/>
        <w:t>​</w:t>
      </w:r>
    </w:p>
    <w:p>
      <w:pPr>
        <w:pStyle w:val="TextBody"/>
        <w:bidi w:val="0"/>
        <w:spacing w:lineRule="auto" w:line="285" w:before="0" w:after="0"/>
        <w:ind w:left="0" w:right="0" w:hanging="0"/>
        <w:jc w:val="both"/>
        <w:rPr>
          <w:rFonts w:ascii="Times New Roman;Times;serif" w:hAnsi="Times New Roman;Times;serif"/>
          <w:b/>
          <w:sz w:val="20"/>
        </w:rPr>
      </w:pPr>
      <w:r>
        <w:rPr>
          <w:rFonts w:ascii="Times New Roman;Times;serif" w:hAnsi="Times New Roman;Times;serif"/>
          <w:b/>
          <w:sz w:val="20"/>
        </w:rPr>
        <w:t>Contacts: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Investor Relations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IR@jcap.com </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Media Relations</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Doug.Donsky@icrinc.com</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 descr=""/>
                    <pic:cNvPicPr>
                      <a:picLocks noChangeAspect="1" noChangeArrowheads="1"/>
                    </pic:cNvPicPr>
                  </pic:nvPicPr>
                  <pic:blipFill>
                    <a:blip r:embed="rId5"/>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Disclosure Regarding Forward Looking Statements</w:t>
      </w:r>
    </w:p>
    <w:p>
      <w:pPr>
        <w:pStyle w:val="TextBody"/>
        <w:bidi w:val="0"/>
        <w:spacing w:lineRule="auto" w:line="285" w:before="0" w:after="0"/>
        <w:ind w:left="0" w:right="0" w:hanging="0"/>
        <w:jc w:val="both"/>
        <w:rPr>
          <w:rFonts w:ascii="Times New Roman;Times;serif" w:hAnsi="Times New Roman;Times;serif"/>
          <w:sz w:val="20"/>
        </w:rPr>
      </w:pPr>
      <w:r>
        <w:rPr>
          <w:rFonts w:ascii="Times New Roman;Times;serif" w:hAnsi="Times New Roman;Times;serif"/>
          <w:sz w:val="20"/>
        </w:rPr>
        <w:t>This press release may contain “forward-looking statements” within the meaning of Section 21E of the Securities Exchange Act of 1934, as amended, and in the U.S. Private Securities Litigation Reform Act of 1995. All statements contained in this press release that do not relate to matters of historical fact should be considered forward-looking statements, including without limitation statements concerning our anticipated financial performance, execution of our business strategies and strength of our business model, the favorability of the investment environment, [use of our share repurchase program,] and our ability to continue paying quarterly cash dividends.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a deterioration in the economic or inflationary environment in the United States, Canada, the United Kingdom or Latin America, including the interest rate environment; our ability to replace our portfolios of nonperforming loans with additional portfolios sufficient to operate efficiently and profitably; our ability to collect sufficient amounts on our nonperforming loans to fund our operations; the possibility that third parties we rely on to conduct collection and other activities fail to perform their services; the possibility that we could recognize significant decreases in our estimate of future recoveries on nonperforming loans; changes in, or interpretations of, federal, state, local, or international laws, including bankruptcy and collection laws, or changes in the administrative practices of various bankruptcy courts, which could negatively impact our business or our ability to collect on nonperforming loans; goodwill impairment charges that could negatively impact our net income and stockholders’ equity; our ability to comply with existing and new regulations of the collection industry, the failure of which could result in penalties, fines, litigation, damage to our reputation, or the suspension or termination of or required modification to our ability to conduct our business; adverse outcomes in pending or future litigation or administrative proceedings; the possibility that class action suits and other litigation could divert management’s attention and increase our expenses; investigations, reviews, or enforcement actions by governmental authorities, including the Consumer Financial Protection Bureau, which could result in changes to our business practices, negatively impact our deployment volume, make collection of account balances more difficult, or expose us to the risk of fines, penalties, restitution payments, and litigation; the possibility that compliance with complex and evolving international and United States laws and regulations that apply to our international operations could increase our cost of doing business in international jurisdictions; our ability to comply with data privacy regulations such as the General Data Protection Regulation; our ability to retain, expand, renegotiate or replace our credit facility and our ability to comply with the covenants under our financing arrangements; our ability to refinance our indebtedness; our ability to service our outstanding indebtedness; changes in interest or exchange rates, which could reduce our net income, and the possibility that future hedging strategies may not be successful; and the possibility that we could incur business or technology disruptions or cybersecurity incidents. These and other important factors discussed under the caption “Risk Factors” in our Annual Report on Form 10-K for the year ended December 31, 2025 filed with the SEC, and our other filings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FINANCIAL TABLES FOLLOW</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5" descr=""/>
                    <pic:cNvPicPr>
                      <a:picLocks noChangeAspect="1" noChangeArrowheads="1"/>
                    </pic:cNvPicPr>
                  </pic:nvPicPr>
                  <pic:blipFill>
                    <a:blip r:embed="rId6"/>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Jefferson Capital, Inc. </w:t>
      </w:r>
    </w:p>
    <w:p>
      <w:pPr>
        <w:pStyle w:val="TextBody"/>
        <w:bidi w:val="0"/>
        <w:spacing w:lineRule="auto" w:line="285" w:before="0" w:after="0"/>
        <w:ind w:left="0" w:right="0" w:hanging="0"/>
        <w:jc w:val="center"/>
        <w:rPr>
          <w:rFonts w:ascii="Aptos" w:hAnsi="Aptos"/>
          <w:sz w:val="20"/>
        </w:rPr>
      </w:pPr>
      <w:r>
        <w:rPr>
          <w:rFonts w:ascii="Times New Roman;Times;serif" w:hAnsi="Times New Roman;Times;serif"/>
          <w:i/>
          <w:sz w:val="20"/>
        </w:rPr>
        <w:t>Combined and Condensed Consolidated Balance Sheets</w:t>
      </w:r>
      <w:bookmarkStart w:id="15" w:name="ConsolidatedBalanceSheets_981238"/>
      <w:bookmarkEnd w:id="15"/>
      <w:r>
        <w:rPr>
          <w:rFonts w:ascii="Aptos" w:hAnsi="Aptos"/>
          <w:sz w:val="20"/>
        </w:rPr>
        <w:t xml:space="preserve"> </w:t>
      </w:r>
    </w:p>
    <w:p>
      <w:pPr>
        <w:pStyle w:val="TextBody"/>
        <w:bidi w:val="0"/>
        <w:spacing w:lineRule="auto" w:line="285" w:before="0" w:after="240"/>
        <w:ind w:left="0" w:right="0" w:hanging="0"/>
        <w:jc w:val="center"/>
        <w:rPr>
          <w:rFonts w:ascii="Times New Roman;Times;serif" w:hAnsi="Times New Roman;Times;serif"/>
          <w:i/>
          <w:sz w:val="20"/>
        </w:rPr>
      </w:pPr>
      <w:r>
        <w:rPr>
          <w:rFonts w:ascii="Times New Roman;Times;serif" w:hAnsi="Times New Roman;Times;serif"/>
          <w:i/>
          <w:sz w:val="20"/>
        </w:rPr>
        <w:t>(Unaudited, Amounts in Thousands)</w:t>
      </w:r>
    </w:p>
    <w:tbl>
      <w:tblPr>
        <w:tblW w:w="10205" w:type="dxa"/>
        <w:jc w:val="left"/>
        <w:tblInd w:w="0" w:type="dxa"/>
        <w:tblLayout w:type="fixed"/>
        <w:tblCellMar>
          <w:top w:w="0" w:type="dxa"/>
          <w:left w:w="0" w:type="dxa"/>
          <w:bottom w:w="0" w:type="dxa"/>
          <w:right w:w="0" w:type="dxa"/>
        </w:tblCellMar>
      </w:tblPr>
      <w:tblGrid>
        <w:gridCol w:w="6694"/>
        <w:gridCol w:w="346"/>
        <w:gridCol w:w="213"/>
        <w:gridCol w:w="941"/>
        <w:gridCol w:w="346"/>
        <w:gridCol w:w="234"/>
        <w:gridCol w:w="1037"/>
        <w:gridCol w:w="394"/>
      </w:tblGrid>
      <w:tr>
        <w:trPr/>
        <w:tc>
          <w:tcPr>
            <w:tcW w:w="66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19710" cy="175260"/>
                      <wp:effectExtent l="0" t="0" r="0" b="0"/>
                      <wp:wrapNone/>
                      <wp:docPr id="45"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35255" cy="175260"/>
                      <wp:effectExtent l="0" t="0" r="0" b="0"/>
                      <wp:wrapNone/>
                      <wp:docPr id="46" name="Frame41"/>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597535" cy="175260"/>
                      <wp:effectExtent l="0" t="0" r="0" b="0"/>
                      <wp:wrapNone/>
                      <wp:docPr id="47" name="Frame42"/>
                      <a:graphic xmlns:a="http://schemas.openxmlformats.org/drawingml/2006/main">
                        <a:graphicData uri="http://schemas.microsoft.com/office/word/2010/wordprocessingShape">
                          <wps:wsp>
                            <wps:cNvSpPr txBox="1"/>
                            <wps:spPr>
                              <a:xfrm>
                                <a:off x="0" y="0"/>
                                <a:ext cx="59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19710" cy="175260"/>
                      <wp:effectExtent l="0" t="0" r="0" b="0"/>
                      <wp:wrapNone/>
                      <wp:docPr id="48"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48590" cy="175260"/>
                      <wp:effectExtent l="0" t="0" r="0" b="0"/>
                      <wp:wrapNone/>
                      <wp:docPr id="49" name="Frame44"/>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58495" cy="175260"/>
                      <wp:effectExtent l="0" t="0" r="0" b="0"/>
                      <wp:wrapNone/>
                      <wp:docPr id="50" name="Frame45"/>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50190" cy="175260"/>
                      <wp:effectExtent l="0" t="0" r="0" b="0"/>
                      <wp:wrapNone/>
                      <wp:docPr id="51" name="Frame4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6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54"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 June 30, </w:t>
            </w:r>
          </w:p>
        </w:tc>
        <w:tc>
          <w:tcPr>
            <w:tcW w:w="346" w:type="dxa"/>
            <w:tcBorders/>
            <w:vAlign w:val="center"/>
          </w:tcPr>
          <w:p>
            <w:pPr>
              <w:pStyle w:val="TableContents"/>
              <w:bidi w:val="0"/>
              <w:spacing w:lineRule="auto" w:line="285" w:before="0" w:after="0"/>
              <w:ind w:left="0" w:right="0" w:hanging="0"/>
              <w:jc w:val="left"/>
              <w:rPr/>
            </w:pPr>
            <w:r>
              <w:rPr/>
              <w:t>​</w:t>
            </w:r>
          </w:p>
        </w:tc>
        <w:tc>
          <w:tcPr>
            <w:tcW w:w="127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5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46" w:type="dxa"/>
            <w:tcBorders/>
            <w:vAlign w:val="center"/>
          </w:tcPr>
          <w:p>
            <w:pPr>
              <w:pStyle w:val="TableContents"/>
              <w:bidi w:val="0"/>
              <w:spacing w:lineRule="auto" w:line="285" w:before="0" w:after="0"/>
              <w:ind w:left="0" w:right="0" w:hanging="0"/>
              <w:jc w:val="left"/>
              <w:rPr/>
            </w:pPr>
            <w:r>
              <w:rPr/>
              <w:t>  ​ ​ ​</w:t>
            </w:r>
          </w:p>
        </w:tc>
        <w:tc>
          <w:tcPr>
            <w:tcW w:w="12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94" w:type="dxa"/>
            <w:tcBorders/>
            <w:vAlign w:val="center"/>
          </w:tcPr>
          <w:p>
            <w:pPr>
              <w:pStyle w:val="TableContents"/>
              <w:bidi w:val="0"/>
              <w:spacing w:lineRule="auto" w:line="285" w:before="0" w:after="0"/>
              <w:ind w:left="0" w:right="0" w:hanging="0"/>
              <w:jc w:val="left"/>
              <w:rPr/>
            </w:pPr>
            <w:r>
              <w:rPr/>
              <w:t>  ​ ​ ​</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23,231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Restricted cash </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5,641</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24,320</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16,901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12,245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14,281</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16,273</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Investments in receivables,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1,946,819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1,928,742</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 card receivables (net of allowance for</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15,042</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16,312</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credit losses of </w:t>
            </w:r>
            <w:r>
              <w:rPr>
                <w:rFonts w:ascii="Times New Roman;Times;serif" w:hAnsi="Times New Roman;Times;serif"/>
                <w:b/>
                <w:sz w:val="20"/>
              </w:rPr>
              <w:t>$</w:t>
            </w:r>
            <w:r>
              <w:rPr>
                <w:rFonts w:ascii="Times New Roman;Times;serif" w:hAnsi="Times New Roman;Times;serif"/>
                <w:sz w:val="20"/>
              </w:rPr>
              <w:t>1,598 and $1,784)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1,711</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1,695</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intangible assets,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6,541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57,761</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58,014</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Total Assets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2,083,808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2,087,373</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Liabilities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73,285</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95,208</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4,179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tax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855</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123,688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101,957</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Notes payable, net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1,405,794</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1,409,039</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1,607,618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1,611,238</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par value $0.0001 per share; 330,000,000 shares authorized as of June 30, 2026 and December 31, 2025 and 57,435,586 and 58,298,923 shares issued and outstanding as of June 30, 2026 and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shd w:fill="CCEEFF" w:val="clear"/>
            <w:vAlign w:val="center"/>
          </w:tcPr>
          <w:p>
            <w:pPr>
              <w:pStyle w:val="TableContents"/>
              <w:bidi w:val="0"/>
              <w:spacing w:lineRule="auto" w:line="285" w:before="0" w:after="0"/>
              <w:ind w:left="0" w:right="0" w:hanging="0"/>
              <w:jc w:val="left"/>
              <w:rPr/>
            </w:pPr>
            <w:r>
              <w:rPr/>
              <w:t>​</w:t>
            </w:r>
          </w:p>
        </w:tc>
        <w:tc>
          <w:tcPr>
            <w:tcW w:w="9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shd w:fill="CCEEFF" w:val="clear"/>
            <w:vAlign w:val="center"/>
          </w:tcPr>
          <w:p>
            <w:pPr>
              <w:pStyle w:val="TableContents"/>
              <w:bidi w:val="0"/>
              <w:spacing w:lineRule="auto" w:line="285" w:before="0" w:after="0"/>
              <w:ind w:left="0" w:right="0" w:hanging="0"/>
              <w:jc w:val="left"/>
              <w:rPr/>
            </w:pPr>
            <w:r>
              <w:rPr/>
              <w:t>​</w:t>
            </w:r>
          </w:p>
        </w:tc>
        <w:tc>
          <w:tcPr>
            <w:tcW w:w="103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(49,549)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pPr>
            <w:r>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513,057</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pPr>
            <w:r>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522,632</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4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3,046</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669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3"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476,190</w:t>
            </w:r>
          </w:p>
        </w:tc>
        <w:tc>
          <w:tcPr>
            <w:tcW w:w="346" w:type="dxa"/>
            <w:tcBorders/>
            <w:vAlign w:val="center"/>
          </w:tcPr>
          <w:p>
            <w:pPr>
              <w:pStyle w:val="TableContents"/>
              <w:bidi w:val="0"/>
              <w:spacing w:lineRule="auto" w:line="285" w:before="0" w:after="0"/>
              <w:ind w:left="0" w:right="0" w:hanging="0"/>
              <w:jc w:val="left"/>
              <w:rPr/>
            </w:pPr>
            <w:r>
              <w:rPr/>
              <w:t>​</w:t>
            </w:r>
          </w:p>
        </w:tc>
        <w:tc>
          <w:tcPr>
            <w:tcW w:w="23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476,135</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669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2,083,808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2,087,373</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5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6" descr=""/>
                    <pic:cNvPicPr>
                      <a:picLocks noChangeAspect="1" noChangeArrowheads="1"/>
                    </pic:cNvPicPr>
                  </pic:nvPicPr>
                  <pic:blipFill>
                    <a:blip r:embed="rId7"/>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Jefferson Capital, Inc.</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Combined and Condensed Consolidated Statements of Operations and Comprehensive Income</w:t>
      </w:r>
      <w:bookmarkStart w:id="16" w:name="ConsolidatedStatementsofOperationsandCom"/>
      <w:bookmarkEnd w:id="16"/>
    </w:p>
    <w:p>
      <w:pPr>
        <w:pStyle w:val="TextBody"/>
        <w:bidi w:val="0"/>
        <w:spacing w:lineRule="auto" w:line="285" w:before="0" w:after="240"/>
        <w:ind w:left="0" w:right="0" w:hanging="0"/>
        <w:jc w:val="center"/>
        <w:rPr>
          <w:rFonts w:ascii="Times New Roman;Times;serif" w:hAnsi="Times New Roman;Times;serif"/>
          <w:i/>
          <w:sz w:val="20"/>
        </w:rPr>
      </w:pPr>
      <w:r>
        <w:rPr>
          <w:rFonts w:ascii="Times New Roman;Times;serif" w:hAnsi="Times New Roman;Times;serif"/>
          <w:i/>
          <w:sz w:val="20"/>
        </w:rPr>
        <w:t>(Unaudited in Thousands, except Per Share amounts)</w:t>
      </w:r>
    </w:p>
    <w:tbl>
      <w:tblPr>
        <w:tblW w:w="10205" w:type="dxa"/>
        <w:jc w:val="left"/>
        <w:tblInd w:w="0" w:type="dxa"/>
        <w:tblLayout w:type="fixed"/>
        <w:tblCellMar>
          <w:top w:w="0" w:type="dxa"/>
          <w:left w:w="0" w:type="dxa"/>
          <w:bottom w:w="0" w:type="dxa"/>
          <w:right w:w="0" w:type="dxa"/>
        </w:tblCellMar>
      </w:tblPr>
      <w:tblGrid>
        <w:gridCol w:w="3884"/>
        <w:gridCol w:w="346"/>
        <w:gridCol w:w="257"/>
        <w:gridCol w:w="974"/>
        <w:gridCol w:w="423"/>
        <w:gridCol w:w="257"/>
        <w:gridCol w:w="974"/>
        <w:gridCol w:w="346"/>
        <w:gridCol w:w="239"/>
        <w:gridCol w:w="907"/>
        <w:gridCol w:w="394"/>
        <w:gridCol w:w="239"/>
        <w:gridCol w:w="965"/>
      </w:tblGrid>
      <w:tr>
        <w:trPr/>
        <w:tc>
          <w:tcPr>
            <w:tcW w:w="3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3"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63195" cy="175260"/>
                      <wp:effectExtent l="0" t="0" r="0" b="0"/>
                      <wp:wrapNone/>
                      <wp:docPr id="54" name="Frame48"/>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18490" cy="175260"/>
                      <wp:effectExtent l="0" t="0" r="0" b="0"/>
                      <wp:wrapNone/>
                      <wp:docPr id="55" name="Frame49"/>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68605" cy="175260"/>
                      <wp:effectExtent l="0" t="0" r="0" b="0"/>
                      <wp:wrapNone/>
                      <wp:docPr id="56" name="Frame50"/>
                      <a:graphic xmlns:a="http://schemas.openxmlformats.org/drawingml/2006/main">
                        <a:graphicData uri="http://schemas.microsoft.com/office/word/2010/wordprocessingShape">
                          <wps:wsp>
                            <wps:cNvSpPr txBox="1"/>
                            <wps:spPr>
                              <a:xfrm>
                                <a:off x="0" y="0"/>
                                <a:ext cx="2686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63195" cy="175260"/>
                      <wp:effectExtent l="0" t="0" r="0" b="0"/>
                      <wp:wrapNone/>
                      <wp:docPr id="57" name="Frame51"/>
                      <a:graphic xmlns:a="http://schemas.openxmlformats.org/drawingml/2006/main">
                        <a:graphicData uri="http://schemas.microsoft.com/office/word/2010/wordprocessingShape">
                          <wps:wsp>
                            <wps:cNvSpPr txBox="1"/>
                            <wps:spPr>
                              <a:xfrm>
                                <a:off x="0" y="0"/>
                                <a:ext cx="1631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18490" cy="175260"/>
                      <wp:effectExtent l="0" t="0" r="0" b="0"/>
                      <wp:wrapNone/>
                      <wp:docPr id="58" name="Frame52"/>
                      <a:graphic xmlns:a="http://schemas.openxmlformats.org/drawingml/2006/main">
                        <a:graphicData uri="http://schemas.microsoft.com/office/word/2010/wordprocessingShape">
                          <wps:wsp>
                            <wps:cNvSpPr txBox="1"/>
                            <wps:spPr>
                              <a:xfrm>
                                <a:off x="0" y="0"/>
                                <a:ext cx="6184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9"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51765" cy="175260"/>
                      <wp:effectExtent l="0" t="0" r="0" b="0"/>
                      <wp:wrapNone/>
                      <wp:docPr id="60" name="Frame54"/>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75945" cy="175260"/>
                      <wp:effectExtent l="0" t="0" r="0" b="0"/>
                      <wp:wrapNone/>
                      <wp:docPr id="61" name="Frame55"/>
                      <a:graphic xmlns:a="http://schemas.openxmlformats.org/drawingml/2006/main">
                        <a:graphicData uri="http://schemas.microsoft.com/office/word/2010/wordprocessingShape">
                          <wps:wsp>
                            <wps:cNvSpPr txBox="1"/>
                            <wps:spPr>
                              <a:xfrm>
                                <a:off x="0" y="0"/>
                                <a:ext cx="5759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50190" cy="175260"/>
                      <wp:effectExtent l="0" t="0" r="0" b="0"/>
                      <wp:wrapNone/>
                      <wp:docPr id="62" name="Frame56"/>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51765" cy="175260"/>
                      <wp:effectExtent l="0" t="0" r="0" b="0"/>
                      <wp:wrapNone/>
                      <wp:docPr id="63" name="Frame57"/>
                      <a:graphic xmlns:a="http://schemas.openxmlformats.org/drawingml/2006/main">
                        <a:graphicData uri="http://schemas.microsoft.com/office/word/2010/wordprocessingShape">
                          <wps:wsp>
                            <wps:cNvSpPr txBox="1"/>
                            <wps:spPr>
                              <a:xfrm>
                                <a:off x="0" y="0"/>
                                <a:ext cx="1517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12775" cy="175260"/>
                      <wp:effectExtent l="0" t="0" r="0" b="0"/>
                      <wp:wrapNone/>
                      <wp:docPr id="64" name="Frame58"/>
                      <a:graphic xmlns:a="http://schemas.openxmlformats.org/drawingml/2006/main">
                        <a:graphicData uri="http://schemas.microsoft.com/office/word/2010/wordprocessingShape">
                          <wps:wsp>
                            <wps:cNvSpPr txBox="1"/>
                            <wps:spPr>
                              <a:xfrm>
                                <a:off x="0" y="0"/>
                                <a:ext cx="612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2628" w:type="dxa"/>
            <w:gridSpan w:val="4"/>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pPr>
            <w:r>
              <w:rPr/>
              <w:t>​</w:t>
            </w:r>
          </w:p>
        </w:tc>
      </w:tr>
      <w:tr>
        <w:trPr/>
        <w:tc>
          <w:tcPr>
            <w:tcW w:w="3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8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 </w:t>
            </w:r>
          </w:p>
        </w:tc>
        <w:tc>
          <w:tcPr>
            <w:tcW w:w="346" w:type="dxa"/>
            <w:tcBorders/>
            <w:vAlign w:val="center"/>
          </w:tcPr>
          <w:p>
            <w:pPr>
              <w:pStyle w:val="TableContents"/>
              <w:bidi w:val="0"/>
              <w:spacing w:lineRule="auto" w:line="285" w:before="0" w:after="0"/>
              <w:ind w:left="0" w:right="0" w:hanging="0"/>
              <w:jc w:val="left"/>
              <w:rPr/>
            </w:pPr>
            <w:r>
              <w:rPr/>
              <w:t>​</w:t>
            </w:r>
          </w:p>
        </w:tc>
        <w:tc>
          <w:tcPr>
            <w:tcW w:w="2744"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r>
      <w:tr>
        <w:trPr/>
        <w:tc>
          <w:tcPr>
            <w:tcW w:w="3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3" w:type="dxa"/>
            <w:tcBorders/>
            <w:vAlign w:val="center"/>
          </w:tcPr>
          <w:p>
            <w:pPr>
              <w:pStyle w:val="TableContents"/>
              <w:bidi w:val="0"/>
              <w:spacing w:lineRule="auto" w:line="285" w:before="0" w:after="0"/>
              <w:ind w:left="0" w:right="0" w:hanging="0"/>
              <w:jc w:val="left"/>
              <w:rPr/>
            </w:pPr>
            <w:r>
              <w:rPr/>
              <w:t>  ​ ​ ​</w:t>
            </w:r>
          </w:p>
        </w:tc>
        <w:tc>
          <w:tcPr>
            <w:tcW w:w="123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1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4" w:type="dxa"/>
            <w:tcBorders/>
            <w:vAlign w:val="center"/>
          </w:tcPr>
          <w:p>
            <w:pPr>
              <w:pStyle w:val="TableContents"/>
              <w:bidi w:val="0"/>
              <w:spacing w:lineRule="auto" w:line="285" w:before="0" w:after="0"/>
              <w:ind w:left="0" w:right="0" w:hanging="0"/>
              <w:jc w:val="left"/>
              <w:rPr/>
            </w:pPr>
            <w:r>
              <w:rPr/>
              <w:t>  ​ ​ ​</w:t>
            </w:r>
          </w:p>
        </w:tc>
        <w:tc>
          <w:tcPr>
            <w:tcW w:w="1204"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Revenues</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pPr>
            <w:r>
              <w:rPr/>
              <w:t>​</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portfolio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156,253</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138,877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313,859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277,571</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recoveries</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9,010</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16,067</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5,176</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165,263</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140,433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329,926</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282,747</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1,623</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1,798</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3,358</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3,696</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10,654</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20,695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21,208</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Revenues</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177,540</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152,708</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353,979</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307,651</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757</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1,101</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pPr>
            <w:r>
              <w:rPr/>
              <w:t>​</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Salaries and benefits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21,880</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44,255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20,276</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Servicing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64,822</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43,546</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130,400</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86,339</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844</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2,854</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Professional fees </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3,053</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9,444</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5,334</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11,611</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selling, 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4,751</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9,275</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9,562</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95,350</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65,507</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190,980</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130,642</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Operating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81,433</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86,641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161,619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175,908</w:t>
            </w:r>
          </w:p>
        </w:tc>
      </w:tr>
      <w:tr>
        <w:trPr/>
        <w:tc>
          <w:tcPr>
            <w:tcW w:w="3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pPr>
            <w:r>
              <w:rPr/>
              <w:t>​</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pPr>
            <w:r>
              <w:rPr/>
              <w:t>​</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righ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right"/>
              <w:rPr/>
            </w:pPr>
            <w:r>
              <w:rPr/>
              <w:t>​</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(30,370)</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(25,824)</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(60,948)</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(50,717)</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2,270</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3,718</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3,620</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(28,100)</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(24,735)</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(57,230)</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(47,097)</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Income Before Income Taxes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53,333</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61,906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104,389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128,811</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(12,037)</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(14,255)</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(25,460)</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(16,935)</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Income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41,296</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47,651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78,929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111,876</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gain / (loss)</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(1,525)</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74"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14,432</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0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(7,226)</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18,316</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Comprehensive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39,771</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62,083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71,703</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130,192</w:t>
            </w:r>
          </w:p>
        </w:tc>
      </w:tr>
      <w:tr>
        <w:trPr/>
        <w:tc>
          <w:tcPr>
            <w:tcW w:w="388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left"/>
              <w:rPr/>
            </w:pPr>
            <w:r>
              <w:rPr/>
              <w:t>​</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lef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left"/>
              <w:rPr/>
            </w:pPr>
            <w:r>
              <w:rPr/>
              <w:t>​</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left"/>
              <w:rPr/>
            </w:pPr>
            <w:r>
              <w:rPr/>
              <w:t>​</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left"/>
              <w:rPr/>
            </w:pPr>
            <w:r>
              <w:rPr/>
              <w:t>​</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18.61</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86.88</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0.67</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16.76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78.26</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pPr>
            <w:r>
              <w:rPr/>
              <w:t>​</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pPr>
            <w:r>
              <w:rPr/>
              <w:t>​</w:t>
            </w:r>
          </w:p>
        </w:tc>
      </w:tr>
      <w:tr>
        <w:trPr/>
        <w:tc>
          <w:tcPr>
            <w:tcW w:w="388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55,515</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55,552</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1,288</w:t>
            </w:r>
          </w:p>
        </w:tc>
      </w:tr>
      <w:tr>
        <w:trPr/>
        <w:tc>
          <w:tcPr>
            <w:tcW w:w="388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46"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55,519</w:t>
            </w:r>
          </w:p>
        </w:tc>
        <w:tc>
          <w:tcPr>
            <w:tcW w:w="423" w:type="dxa"/>
            <w:tcBorders/>
            <w:vAlign w:val="center"/>
          </w:tcPr>
          <w:p>
            <w:pPr>
              <w:pStyle w:val="TableContents"/>
              <w:bidi w:val="0"/>
              <w:spacing w:lineRule="auto" w:line="285" w:before="0" w:after="0"/>
              <w:ind w:left="0" w:right="0" w:hanging="0"/>
              <w:jc w:val="left"/>
              <w:rPr/>
            </w:pPr>
            <w:r>
              <w:rPr/>
              <w:t>​</w:t>
            </w:r>
          </w:p>
        </w:tc>
        <w:tc>
          <w:tcPr>
            <w:tcW w:w="257" w:type="dxa"/>
            <w:tcBorders/>
            <w:vAlign w:val="center"/>
          </w:tcPr>
          <w:p>
            <w:pPr>
              <w:pStyle w:val="TableContents"/>
              <w:bidi w:val="0"/>
              <w:spacing w:lineRule="auto" w:line="285" w:before="0" w:after="0"/>
              <w:ind w:left="0" w:right="0" w:hanging="0"/>
              <w:jc w:val="left"/>
              <w:rPr/>
            </w:pPr>
            <w:r>
              <w:rPr/>
              <w:t>​</w:t>
            </w:r>
          </w:p>
        </w:tc>
        <w:tc>
          <w:tcPr>
            <w:tcW w:w="974"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2,843</w:t>
            </w:r>
          </w:p>
        </w:tc>
        <w:tc>
          <w:tcPr>
            <w:tcW w:w="346"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0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55,554</w:t>
            </w:r>
          </w:p>
        </w:tc>
        <w:tc>
          <w:tcPr>
            <w:tcW w:w="394" w:type="dxa"/>
            <w:tcBorders/>
            <w:vAlign w:val="center"/>
          </w:tcPr>
          <w:p>
            <w:pPr>
              <w:pStyle w:val="TableContents"/>
              <w:bidi w:val="0"/>
              <w:spacing w:lineRule="auto" w:line="285" w:before="0" w:after="0"/>
              <w:ind w:left="0" w:right="0" w:hanging="0"/>
              <w:jc w:val="left"/>
              <w:rPr/>
            </w:pPr>
            <w:r>
              <w:rPr/>
              <w:t>​</w:t>
            </w:r>
          </w:p>
        </w:tc>
        <w:tc>
          <w:tcPr>
            <w:tcW w:w="239" w:type="dxa"/>
            <w:tcBorders/>
            <w:vAlign w:val="center"/>
          </w:tcPr>
          <w:p>
            <w:pPr>
              <w:pStyle w:val="TableContents"/>
              <w:bidi w:val="0"/>
              <w:spacing w:lineRule="auto" w:line="285" w:before="0" w:after="0"/>
              <w:ind w:left="0" w:right="0" w:hanging="0"/>
              <w:jc w:val="left"/>
              <w:rPr/>
            </w:pPr>
            <w:r>
              <w:rPr/>
              <w:t>​</w:t>
            </w:r>
          </w:p>
        </w:tc>
        <w:tc>
          <w:tcPr>
            <w:tcW w:w="96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1,430</w:t>
            </w:r>
          </w:p>
        </w:tc>
      </w:tr>
      <w:tr>
        <w:trPr/>
        <w:tc>
          <w:tcPr>
            <w:tcW w:w="3884"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left"/>
              <w:rPr/>
            </w:pPr>
            <w:r>
              <w:rPr/>
              <w:t>​</w:t>
            </w:r>
          </w:p>
        </w:tc>
        <w:tc>
          <w:tcPr>
            <w:tcW w:w="423" w:type="dxa"/>
            <w:tcBorders/>
            <w:shd w:fill="CCEEFF" w:val="clear"/>
            <w:vAlign w:val="center"/>
          </w:tcPr>
          <w:p>
            <w:pPr>
              <w:pStyle w:val="TableContents"/>
              <w:bidi w:val="0"/>
              <w:spacing w:lineRule="auto" w:line="285" w:before="0" w:after="0"/>
              <w:ind w:left="0" w:right="0" w:hanging="0"/>
              <w:jc w:val="left"/>
              <w:rPr/>
            </w:pPr>
            <w:r>
              <w:rPr/>
              <w:t>​</w:t>
            </w:r>
          </w:p>
        </w:tc>
        <w:tc>
          <w:tcPr>
            <w:tcW w:w="257" w:type="dxa"/>
            <w:tcBorders/>
            <w:shd w:fill="CCEEFF" w:val="clear"/>
            <w:vAlign w:val="center"/>
          </w:tcPr>
          <w:p>
            <w:pPr>
              <w:pStyle w:val="TableContents"/>
              <w:bidi w:val="0"/>
              <w:spacing w:lineRule="auto" w:line="285" w:before="0" w:after="0"/>
              <w:ind w:left="0" w:right="0" w:hanging="0"/>
              <w:jc w:val="left"/>
              <w:rPr/>
            </w:pPr>
            <w:r>
              <w:rPr/>
              <w:t>​</w:t>
            </w:r>
          </w:p>
        </w:tc>
        <w:tc>
          <w:tcPr>
            <w:tcW w:w="974"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07" w:type="dxa"/>
            <w:tcBorders/>
            <w:shd w:fill="CCEEFF" w:val="clear"/>
            <w:vAlign w:val="center"/>
          </w:tcPr>
          <w:p>
            <w:pPr>
              <w:pStyle w:val="TableContents"/>
              <w:bidi w:val="0"/>
              <w:spacing w:lineRule="auto" w:line="285" w:before="0" w:after="0"/>
              <w:ind w:left="0" w:right="0" w:hanging="0"/>
              <w:jc w:val="left"/>
              <w:rPr/>
            </w:pPr>
            <w:r>
              <w:rPr/>
              <w:t>​</w:t>
            </w:r>
          </w:p>
        </w:tc>
        <w:tc>
          <w:tcPr>
            <w:tcW w:w="394" w:type="dxa"/>
            <w:tcBorders/>
            <w:shd w:fill="CCEEFF" w:val="clear"/>
            <w:vAlign w:val="center"/>
          </w:tcPr>
          <w:p>
            <w:pPr>
              <w:pStyle w:val="TableContents"/>
              <w:bidi w:val="0"/>
              <w:spacing w:lineRule="auto" w:line="285" w:before="0" w:after="0"/>
              <w:ind w:left="0" w:right="0" w:hanging="0"/>
              <w:jc w:val="left"/>
              <w:rPr/>
            </w:pPr>
            <w:r>
              <w:rPr/>
              <w:t>​</w:t>
            </w:r>
          </w:p>
        </w:tc>
        <w:tc>
          <w:tcPr>
            <w:tcW w:w="239" w:type="dxa"/>
            <w:tcBorders/>
            <w:shd w:fill="CCEEFF" w:val="clear"/>
            <w:vAlign w:val="center"/>
          </w:tcPr>
          <w:p>
            <w:pPr>
              <w:pStyle w:val="TableContents"/>
              <w:bidi w:val="0"/>
              <w:spacing w:lineRule="auto" w:line="285" w:before="0" w:after="0"/>
              <w:ind w:left="0" w:right="0" w:hanging="0"/>
              <w:jc w:val="left"/>
              <w:rPr/>
            </w:pPr>
            <w:r>
              <w:rPr/>
              <w:t>​</w:t>
            </w:r>
          </w:p>
        </w:tc>
        <w:tc>
          <w:tcPr>
            <w:tcW w:w="965"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6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7" descr=""/>
                    <pic:cNvPicPr>
                      <a:picLocks noChangeAspect="1" noChangeArrowheads="1"/>
                    </pic:cNvPicPr>
                  </pic:nvPicPr>
                  <pic:blipFill>
                    <a:blip r:embed="rId8"/>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Jefferson Capital, Inc.</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Combined and Condensed Consolidated Statements of Cash Flows</w:t>
      </w:r>
      <w:bookmarkStart w:id="17" w:name="ConsolidatedStatementsofCashFlows_196015"/>
      <w:bookmarkEnd w:id="17"/>
    </w:p>
    <w:p>
      <w:pPr>
        <w:pStyle w:val="TextBody"/>
        <w:bidi w:val="0"/>
        <w:spacing w:lineRule="auto" w:line="285" w:before="0" w:after="240"/>
        <w:ind w:left="0" w:right="0" w:hanging="0"/>
        <w:jc w:val="center"/>
        <w:rPr>
          <w:rFonts w:ascii="Aptos" w:hAnsi="Aptos"/>
          <w:sz w:val="20"/>
        </w:rPr>
      </w:pPr>
      <w:r>
        <w:rPr>
          <w:rFonts w:ascii="Times New Roman;Times;serif" w:hAnsi="Times New Roman;Times;serif"/>
          <w:sz w:val="20"/>
        </w:rPr>
        <w:t>(</w:t>
      </w:r>
      <w:r>
        <w:rPr>
          <w:rFonts w:ascii="Times New Roman;Times;serif" w:hAnsi="Times New Roman;Times;serif"/>
          <w:i/>
          <w:sz w:val="20"/>
        </w:rPr>
        <w:t>Unaudited, in Thousands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6827"/>
        <w:gridCol w:w="346"/>
        <w:gridCol w:w="218"/>
        <w:gridCol w:w="922"/>
        <w:gridCol w:w="359"/>
        <w:gridCol w:w="218"/>
        <w:gridCol w:w="922"/>
        <w:gridCol w:w="393"/>
      </w:tblGrid>
      <w:tr>
        <w:trPr/>
        <w:tc>
          <w:tcPr>
            <w:tcW w:w="682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6"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8430" cy="175260"/>
                      <wp:effectExtent l="0" t="0" r="0" b="0"/>
                      <wp:wrapNone/>
                      <wp:docPr id="67" name="Frame60"/>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85470" cy="175260"/>
                      <wp:effectExtent l="0" t="0" r="0" b="0"/>
                      <wp:wrapNone/>
                      <wp:docPr id="68" name="Frame61"/>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27965" cy="175260"/>
                      <wp:effectExtent l="0" t="0" r="0" b="0"/>
                      <wp:wrapNone/>
                      <wp:docPr id="69" name="Frame62"/>
                      <a:graphic xmlns:a="http://schemas.openxmlformats.org/drawingml/2006/main">
                        <a:graphicData uri="http://schemas.microsoft.com/office/word/2010/wordprocessingShape">
                          <wps:wsp>
                            <wps:cNvSpPr txBox="1"/>
                            <wps:spPr>
                              <a:xfrm>
                                <a:off x="0" y="0"/>
                                <a:ext cx="2279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8430" cy="175260"/>
                      <wp:effectExtent l="0" t="0" r="0" b="0"/>
                      <wp:wrapNone/>
                      <wp:docPr id="70" name="Frame63"/>
                      <a:graphic xmlns:a="http://schemas.openxmlformats.org/drawingml/2006/main">
                        <a:graphicData uri="http://schemas.microsoft.com/office/word/2010/wordprocessingShape">
                          <wps:wsp>
                            <wps:cNvSpPr txBox="1"/>
                            <wps:spPr>
                              <a:xfrm>
                                <a:off x="0" y="0"/>
                                <a:ext cx="1384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85470" cy="175260"/>
                      <wp:effectExtent l="0" t="0" r="0" b="0"/>
                      <wp:wrapNone/>
                      <wp:docPr id="71" name="Frame64"/>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49555" cy="175260"/>
                      <wp:effectExtent l="0" t="0" r="0" b="0"/>
                      <wp:wrapNone/>
                      <wp:docPr id="72" name="Frame65"/>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682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39" w:type="dxa"/>
            <w:gridSpan w:val="5"/>
            <w:tcBorders/>
            <w:vAlign w:val="center"/>
          </w:tcPr>
          <w:p>
            <w:pPr>
              <w:pStyle w:val="TableContents"/>
              <w:bidi w:val="0"/>
              <w:spacing w:lineRule="auto" w:line="285" w:before="0" w:after="0"/>
              <w:ind w:left="0" w:right="0" w:hanging="0"/>
              <w:jc w:val="center"/>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39"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 </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2026 </w:t>
            </w:r>
          </w:p>
        </w:tc>
        <w:tc>
          <w:tcPr>
            <w:tcW w:w="359" w:type="dxa"/>
            <w:tcBorders/>
            <w:vAlign w:val="center"/>
          </w:tcPr>
          <w:p>
            <w:pPr>
              <w:pStyle w:val="TableContents"/>
              <w:bidi w:val="0"/>
              <w:spacing w:lineRule="auto" w:line="285"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2025 </w:t>
            </w:r>
          </w:p>
        </w:tc>
        <w:tc>
          <w:tcPr>
            <w:tcW w:w="393" w:type="dxa"/>
            <w:tcBorders/>
            <w:vAlign w:val="center"/>
          </w:tcPr>
          <w:p>
            <w:pPr>
              <w:pStyle w:val="TableContents"/>
              <w:bidi w:val="0"/>
              <w:spacing w:lineRule="auto" w:line="285" w:before="0" w:after="0"/>
              <w:ind w:left="0" w:right="0" w:hanging="0"/>
              <w:jc w:val="left"/>
              <w:rPr/>
            </w:pPr>
            <w:r>
              <w:rPr/>
              <w:t>  ​ ​ ​</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Net income </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78,929</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111,876</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income to net cash and cash equivalents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1,716</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2,854</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Amortization of debt issuance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3,337</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2,494</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1,380</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1,101</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Recoveries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(16,067)</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16,857</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Deferred income tax</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21,893</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12,386</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assets and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pPr>
            <w:r>
              <w:rPr/>
              <w:t>​</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2,032</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(2,812)</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(4,745)</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(3,175)</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 and accrued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(22,438)</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5,841</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82,894</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130,565</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flows from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receivables, net</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(301,947)</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(300,501)</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credit card receivables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(11,890)</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(13,138)</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Collections applied to investments in receivables, net</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296,889</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233,761</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Collections applied to credit card receivables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11,501</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13,479</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net</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(5,978)</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(66,938)</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flow from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pPr>
            <w:r>
              <w:rPr/>
              <w:t>​</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notes payable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412,452</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681,790</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Payments on notes payable</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(417,798)</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(694,872)</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Payment of debt issuance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(935)</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(7,605)</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Dividends paid to stockholders</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(29,592)</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(32,422)</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of common stock</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pPr>
            <w:r>
              <w:rPr/>
              <w:t>—</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10,000</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Repurchase of common stock</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(58,912)</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used in financing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(94,785)</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(43,109)</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Exchange rate effects on cash balances held in foreign currencies</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(3,635)</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vAlign w:val="center"/>
          </w:tcPr>
          <w:p>
            <w:pPr>
              <w:pStyle w:val="TableContents"/>
              <w:bidi w:val="0"/>
              <w:spacing w:lineRule="auto" w:line="285" w:before="0" w:after="0"/>
              <w:ind w:left="0" w:right="0" w:hanging="0"/>
              <w:jc w:val="left"/>
              <w:rPr/>
            </w:pPr>
            <w:r>
              <w:rPr/>
              <w:t>​</w:t>
            </w:r>
          </w:p>
        </w:tc>
        <w:tc>
          <w:tcPr>
            <w:tcW w:w="92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(3,261)</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 and restricted cash</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(21,504)</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shd w:fill="CCEEFF" w:val="clear"/>
            <w:vAlign w:val="center"/>
          </w:tcPr>
          <w:p>
            <w:pPr>
              <w:pStyle w:val="TableContents"/>
              <w:bidi w:val="0"/>
              <w:spacing w:lineRule="auto" w:line="285" w:before="0" w:after="0"/>
              <w:ind w:left="0" w:right="0" w:hanging="0"/>
              <w:jc w:val="left"/>
              <w:rPr/>
            </w:pPr>
            <w:r>
              <w:rPr/>
              <w:t>​</w:t>
            </w:r>
          </w:p>
        </w:tc>
        <w:tc>
          <w:tcPr>
            <w:tcW w:w="92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17,257</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r>
        <w:trPr/>
        <w:tc>
          <w:tcPr>
            <w:tcW w:w="682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beginning of period</w:t>
            </w:r>
          </w:p>
        </w:tc>
        <w:tc>
          <w:tcPr>
            <w:tcW w:w="346" w:type="dxa"/>
            <w:tcBorders/>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47,551</w:t>
            </w:r>
          </w:p>
        </w:tc>
        <w:tc>
          <w:tcPr>
            <w:tcW w:w="359" w:type="dxa"/>
            <w:tcBorders/>
            <w:vAlign w:val="center"/>
          </w:tcPr>
          <w:p>
            <w:pPr>
              <w:pStyle w:val="TableContents"/>
              <w:bidi w:val="0"/>
              <w:spacing w:lineRule="auto" w:line="285" w:before="0" w:after="0"/>
              <w:ind w:left="0" w:right="0" w:hanging="0"/>
              <w:jc w:val="left"/>
              <w:rPr/>
            </w:pPr>
            <w:r>
              <w:rPr/>
              <w:t>​</w:t>
            </w:r>
          </w:p>
        </w:tc>
        <w:tc>
          <w:tcPr>
            <w:tcW w:w="21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38,243</w:t>
            </w:r>
          </w:p>
        </w:tc>
        <w:tc>
          <w:tcPr>
            <w:tcW w:w="393" w:type="dxa"/>
            <w:tcBorders/>
            <w:vAlign w:val="center"/>
          </w:tcPr>
          <w:p>
            <w:pPr>
              <w:pStyle w:val="TableContents"/>
              <w:bidi w:val="0"/>
              <w:spacing w:lineRule="auto" w:line="285" w:before="0" w:after="0"/>
              <w:ind w:left="0" w:right="0" w:hanging="0"/>
              <w:jc w:val="left"/>
              <w:rPr/>
            </w:pPr>
            <w:r>
              <w:rPr/>
              <w:t>​</w:t>
            </w:r>
          </w:p>
        </w:tc>
      </w:tr>
      <w:tr>
        <w:trPr/>
        <w:tc>
          <w:tcPr>
            <w:tcW w:w="682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and restricted cash, end of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26,047</w:t>
            </w:r>
          </w:p>
        </w:tc>
        <w:tc>
          <w:tcPr>
            <w:tcW w:w="359" w:type="dxa"/>
            <w:tcBorders/>
            <w:shd w:fill="CCEEFF" w:val="clear"/>
            <w:vAlign w:val="center"/>
          </w:tcPr>
          <w:p>
            <w:pPr>
              <w:pStyle w:val="TableContents"/>
              <w:bidi w:val="0"/>
              <w:spacing w:lineRule="auto" w:line="285" w:before="0" w:after="0"/>
              <w:ind w:left="0" w:right="0" w:hanging="0"/>
              <w:jc w:val="left"/>
              <w:rPr/>
            </w:pPr>
            <w:r>
              <w:rPr/>
              <w:t>​</w:t>
            </w:r>
          </w:p>
        </w:tc>
        <w:tc>
          <w:tcPr>
            <w:tcW w:w="218"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55,500</w:t>
            </w:r>
          </w:p>
        </w:tc>
        <w:tc>
          <w:tcPr>
            <w:tcW w:w="393"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7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8" descr=""/>
                    <pic:cNvPicPr>
                      <a:picLocks noChangeAspect="1" noChangeArrowheads="1"/>
                    </pic:cNvPicPr>
                  </pic:nvPicPr>
                  <pic:blipFill>
                    <a:blip r:embed="rId9"/>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Jefferson Capital, Inc.</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Supplemental Financial Information</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Reconciliation of Non-GAAP Metrics</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Efficiency Ratio</w:t>
      </w:r>
    </w:p>
    <w:tbl>
      <w:tblPr>
        <w:tblW w:w="8183" w:type="dxa"/>
        <w:jc w:val="left"/>
        <w:tblInd w:w="0" w:type="dxa"/>
        <w:tblLayout w:type="fixed"/>
        <w:tblCellMar>
          <w:top w:w="0" w:type="dxa"/>
          <w:left w:w="0" w:type="dxa"/>
          <w:bottom w:w="0" w:type="dxa"/>
          <w:right w:w="0" w:type="dxa"/>
        </w:tblCellMar>
      </w:tblPr>
      <w:tblGrid>
        <w:gridCol w:w="5536"/>
        <w:gridCol w:w="346"/>
        <w:gridCol w:w="211"/>
        <w:gridCol w:w="571"/>
        <w:gridCol w:w="391"/>
        <w:gridCol w:w="211"/>
        <w:gridCol w:w="571"/>
        <w:gridCol w:w="346"/>
      </w:tblGrid>
      <w:tr>
        <w:trPr/>
        <w:tc>
          <w:tcPr>
            <w:tcW w:w="5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3515360" cy="175260"/>
                      <wp:effectExtent l="0" t="0" r="0" b="0"/>
                      <wp:wrapNone/>
                      <wp:docPr id="74" name="Frame66"/>
                      <a:graphic xmlns:a="http://schemas.openxmlformats.org/drawingml/2006/main">
                        <a:graphicData uri="http://schemas.microsoft.com/office/word/2010/wordprocessingShape">
                          <wps:wsp>
                            <wps:cNvSpPr txBox="1"/>
                            <wps:spPr>
                              <a:xfrm>
                                <a:off x="0" y="0"/>
                                <a:ext cx="3515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75" name="Frame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33985" cy="175260"/>
                      <wp:effectExtent l="0" t="0" r="0" b="0"/>
                      <wp:wrapNone/>
                      <wp:docPr id="76" name="Frame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362585" cy="175260"/>
                      <wp:effectExtent l="0" t="0" r="0" b="0"/>
                      <wp:wrapNone/>
                      <wp:docPr id="77" name="Frame6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48285" cy="175260"/>
                      <wp:effectExtent l="0" t="0" r="0" b="0"/>
                      <wp:wrapNone/>
                      <wp:docPr id="78" name="Frame7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33985" cy="175260"/>
                      <wp:effectExtent l="0" t="0" r="0" b="0"/>
                      <wp:wrapNone/>
                      <wp:docPr id="79"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362585" cy="175260"/>
                      <wp:effectExtent l="0" t="0" r="0" b="0"/>
                      <wp:wrapNone/>
                      <wp:docPr id="80" name="Frame7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219710" cy="175260"/>
                      <wp:effectExtent l="0" t="0" r="0" b="0"/>
                      <wp:wrapNone/>
                      <wp:docPr id="81" name="Frame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5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95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55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95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553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91"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w:t>
            </w:r>
          </w:p>
        </w:tc>
      </w:tr>
      <w:tr>
        <w:trPr/>
        <w:tc>
          <w:tcPr>
            <w:tcW w:w="55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Collections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55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Credit card revenue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55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Servicing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10.7</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55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Receipts (A)</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313.2</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268.0</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553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lef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55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95.4</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65.5</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55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55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and initial public offering related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55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Operating Expenses (B)</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87.1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64.7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r>
      <w:tr>
        <w:trPr/>
        <w:tc>
          <w:tcPr>
            <w:tcW w:w="55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left"/>
              <w:rPr/>
            </w:pPr>
            <w:r>
              <w:rPr/>
              <w:t>​</w:t>
            </w:r>
          </w:p>
        </w:tc>
        <w:tc>
          <w:tcPr>
            <w:tcW w:w="39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r>
      <w:tr>
        <w:trPr/>
        <w:tc>
          <w:tcPr>
            <w:tcW w:w="55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Efficiency Ratio (A-B) / 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72.2</w:t>
            </w:r>
          </w:p>
        </w:tc>
        <w:tc>
          <w:tcPr>
            <w:tcW w:w="39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75.9</w:t>
            </w:r>
          </w:p>
        </w:tc>
        <w:tc>
          <w:tcPr>
            <w:tcW w:w="34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Adjusted Pre-tax Income</w:t>
      </w:r>
    </w:p>
    <w:p>
      <w:pPr>
        <w:pStyle w:val="TextBody"/>
        <w:bidi w:val="0"/>
        <w:spacing w:lineRule="auto" w:line="285" w:before="0" w:after="0"/>
        <w:ind w:left="0" w:right="0" w:hanging="0"/>
        <w:jc w:val="left"/>
        <w:rPr/>
      </w:pPr>
      <w:r>
        <w:rPr/>
        <w:t>​</w:t>
      </w:r>
    </w:p>
    <w:tbl>
      <w:tblPr>
        <w:tblW w:w="7102" w:type="dxa"/>
        <w:jc w:val="left"/>
        <w:tblInd w:w="0" w:type="dxa"/>
        <w:tblLayout w:type="fixed"/>
        <w:tblCellMar>
          <w:top w:w="0" w:type="dxa"/>
          <w:left w:w="0" w:type="dxa"/>
          <w:bottom w:w="0" w:type="dxa"/>
          <w:right w:w="0" w:type="dxa"/>
        </w:tblCellMar>
      </w:tblPr>
      <w:tblGrid>
        <w:gridCol w:w="4936"/>
        <w:gridCol w:w="346"/>
        <w:gridCol w:w="211"/>
        <w:gridCol w:w="481"/>
        <w:gridCol w:w="346"/>
        <w:gridCol w:w="211"/>
        <w:gridCol w:w="571"/>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3134360" cy="175260"/>
                      <wp:effectExtent l="0" t="0" r="0" b="0"/>
                      <wp:wrapNone/>
                      <wp:docPr id="82" name="Frame74"/>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3" name="Frame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4" name="Frame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305435" cy="175260"/>
                      <wp:effectExtent l="0" t="0" r="0" b="0"/>
                      <wp:wrapNone/>
                      <wp:docPr id="85" name="Frame7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9710" cy="175260"/>
                      <wp:effectExtent l="0" t="0" r="0" b="0"/>
                      <wp:wrapNone/>
                      <wp:docPr id="86" name="Frame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3985" cy="175260"/>
                      <wp:effectExtent l="0" t="0" r="0" b="0"/>
                      <wp:wrapNone/>
                      <wp:docPr id="87" name="Frame7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362585" cy="175260"/>
                      <wp:effectExtent l="0" t="0" r="0" b="0"/>
                      <wp:wrapNone/>
                      <wp:docPr id="88" name="Frame8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82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8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Pre-tax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61.9</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and initial public offering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Pre-tax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b/>
                <w:sz w:val="20"/>
              </w:rPr>
            </w:pPr>
            <w:r>
              <w:rPr>
                <w:rFonts w:ascii="Times New Roman;Times;serif" w:hAnsi="Times New Roman;Times;serif"/>
                <w:b/>
                <w:sz w:val="20"/>
              </w:rPr>
              <w:t>61.6</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pPr>
      <w:r>
        <w:rPr/>
        <w:drawing>
          <wp:inline distT="0" distB="0" distL="0" distR="0">
            <wp:extent cx="1196340" cy="457200"/>
            <wp:effectExtent l="0" t="0" r="0" b="0"/>
            <wp:docPr id="8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9" descr=""/>
                    <pic:cNvPicPr>
                      <a:picLocks noChangeAspect="1" noChangeArrowheads="1"/>
                    </pic:cNvPicPr>
                  </pic:nvPicPr>
                  <pic:blipFill>
                    <a:blip r:embed="rId10"/>
                    <a:stretch>
                      <a:fillRect/>
                    </a:stretch>
                  </pic:blipFill>
                  <pic:spPr bwMode="auto">
                    <a:xfrm>
                      <a:off x="0" y="0"/>
                      <a:ext cx="1196340" cy="4572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Jefferson Capital, Inc.</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Supplemental Financial Information</w:t>
      </w:r>
    </w:p>
    <w:p>
      <w:pPr>
        <w:pStyle w:val="TextBody"/>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Reconciliation of Non-GAAP Metrics (Continued)</w:t>
      </w:r>
    </w:p>
    <w:p>
      <w:pPr>
        <w:pStyle w:val="TextBody"/>
        <w:bidi w:val="0"/>
        <w:spacing w:lineRule="auto" w:line="285" w:before="0" w:after="24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Adjusted Net Income and Adjusted EPS</w:t>
      </w:r>
    </w:p>
    <w:tbl>
      <w:tblPr>
        <w:tblW w:w="10084" w:type="dxa"/>
        <w:jc w:val="left"/>
        <w:tblInd w:w="0" w:type="dxa"/>
        <w:tblLayout w:type="fixed"/>
        <w:tblCellMar>
          <w:top w:w="0" w:type="dxa"/>
          <w:left w:w="0" w:type="dxa"/>
          <w:bottom w:w="0" w:type="dxa"/>
          <w:right w:w="0" w:type="dxa"/>
        </w:tblCellMar>
      </w:tblPr>
      <w:tblGrid>
        <w:gridCol w:w="5581"/>
        <w:gridCol w:w="346"/>
        <w:gridCol w:w="211"/>
        <w:gridCol w:w="481"/>
        <w:gridCol w:w="346"/>
        <w:gridCol w:w="211"/>
        <w:gridCol w:w="481"/>
        <w:gridCol w:w="109"/>
        <w:gridCol w:w="211"/>
        <w:gridCol w:w="871"/>
        <w:gridCol w:w="109"/>
        <w:gridCol w:w="691"/>
        <w:gridCol w:w="436"/>
      </w:tblGrid>
      <w:tr>
        <w:trPr/>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543935" cy="175260"/>
                      <wp:effectExtent l="0" t="0" r="0" b="0"/>
                      <wp:wrapNone/>
                      <wp:docPr id="90" name="Frame81"/>
                      <a:graphic xmlns:a="http://schemas.openxmlformats.org/drawingml/2006/main">
                        <a:graphicData uri="http://schemas.microsoft.com/office/word/2010/wordprocessingShape">
                          <wps:wsp>
                            <wps:cNvSpPr txBox="1"/>
                            <wps:spPr>
                              <a:xfrm>
                                <a:off x="0" y="0"/>
                                <a:ext cx="3543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05435" cy="175260"/>
                      <wp:effectExtent l="0" t="0" r="0" b="0"/>
                      <wp:wrapNone/>
                      <wp:docPr id="93" name="Frame84"/>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305435" cy="175260"/>
                      <wp:effectExtent l="0" t="0" r="0" b="0"/>
                      <wp:wrapNone/>
                      <wp:docPr id="96" name="Frame87"/>
                      <a:graphic xmlns:a="http://schemas.openxmlformats.org/drawingml/2006/main">
                        <a:graphicData uri="http://schemas.microsoft.com/office/word/2010/wordprocessingShape">
                          <wps:wsp>
                            <wps:cNvSpPr txBox="1"/>
                            <wps:spPr>
                              <a:xfrm>
                                <a:off x="0" y="0"/>
                                <a:ext cx="305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7"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33985" cy="175260"/>
                      <wp:effectExtent l="0" t="0" r="0" b="0"/>
                      <wp:wrapNone/>
                      <wp:docPr id="98"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53085" cy="175260"/>
                      <wp:effectExtent l="0" t="0" r="0" b="0"/>
                      <wp:wrapNone/>
                      <wp:docPr id="99" name="Frame9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9215" cy="175260"/>
                      <wp:effectExtent l="0" t="0" r="0" b="0"/>
                      <wp:wrapNone/>
                      <wp:docPr id="100"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438785" cy="175260"/>
                      <wp:effectExtent l="0" t="0" r="0" b="0"/>
                      <wp:wrapNone/>
                      <wp:docPr id="101" name="Frame9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76860" cy="175260"/>
                      <wp:effectExtent l="0" t="0" r="0" b="0"/>
                      <wp:wrapNone/>
                      <wp:docPr id="102" name="Frame93"/>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173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 </w:t>
            </w:r>
          </w:p>
        </w:tc>
        <w:tc>
          <w:tcPr>
            <w:tcW w:w="87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Increase</w:t>
            </w:r>
          </w:p>
        </w:tc>
        <w:tc>
          <w:tcPr>
            <w:tcW w:w="109"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436" w:type="dxa"/>
            <w:tcBorders/>
            <w:vAlign w:val="center"/>
          </w:tcPr>
          <w:p>
            <w:pPr>
              <w:pStyle w:val="TableContents"/>
              <w:bidi w:val="0"/>
              <w:spacing w:lineRule="auto" w:line="285" w:before="0" w:after="0"/>
              <w:ind w:left="0" w:right="0" w:hanging="0"/>
              <w:jc w:val="center"/>
              <w:rPr/>
            </w:pPr>
            <w:r>
              <w:rPr/>
              <w:t>​</w:t>
            </w:r>
          </w:p>
        </w:tc>
      </w:tr>
      <w:tr>
        <w:trPr/>
        <w:tc>
          <w:tcPr>
            <w:tcW w:w="55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73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109" w:type="dxa"/>
            <w:tcBorders/>
            <w:vAlign w:val="center"/>
          </w:tcPr>
          <w:p>
            <w:pPr>
              <w:pStyle w:val="TableContents"/>
              <w:bidi w:val="0"/>
              <w:spacing w:lineRule="auto" w:line="285" w:before="0" w:after="0"/>
              <w:ind w:left="0" w:right="0" w:hanging="0"/>
              <w:jc w:val="center"/>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436" w:type="dxa"/>
            <w:tcBorders/>
            <w:vAlign w:val="center"/>
          </w:tcPr>
          <w:p>
            <w:pPr>
              <w:pStyle w:val="TableContents"/>
              <w:bidi w:val="0"/>
              <w:spacing w:lineRule="auto" w:line="285" w:before="0" w:after="0"/>
              <w:ind w:left="0" w:right="0" w:hanging="0"/>
              <w:jc w:val="center"/>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 Except Adjusted EPS amounts)</w:t>
            </w:r>
          </w:p>
        </w:tc>
        <w:tc>
          <w:tcPr>
            <w:tcW w:w="346" w:type="dxa"/>
            <w:tcBorders/>
            <w:vAlign w:val="center"/>
          </w:tcPr>
          <w:p>
            <w:pPr>
              <w:pStyle w:val="TableContents"/>
              <w:bidi w:val="0"/>
              <w:spacing w:lineRule="auto" w:line="285"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center"/>
              <w:rPr/>
            </w:pPr>
            <w:r>
              <w:rPr/>
              <w:t>  ​ ​ ​</w:t>
            </w:r>
          </w:p>
        </w:tc>
        <w:tc>
          <w:tcPr>
            <w:tcW w:w="6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211" w:type="dxa"/>
            <w:tcBorders/>
            <w:vAlign w:val="center"/>
          </w:tcPr>
          <w:p>
            <w:pPr>
              <w:pStyle w:val="TableContents"/>
              <w:bidi w:val="0"/>
              <w:spacing w:lineRule="auto" w:line="285" w:before="0" w:after="0"/>
              <w:ind w:left="0" w:right="0" w:hanging="0"/>
              <w:jc w:val="center"/>
              <w:rPr/>
            </w:pPr>
            <w:r>
              <w:rPr/>
              <w:t> </w:t>
            </w:r>
          </w:p>
        </w:tc>
        <w:tc>
          <w:tcPr>
            <w:tcW w:w="871" w:type="dxa"/>
            <w:tcBorders/>
            <w:vAlign w:val="center"/>
          </w:tcPr>
          <w:p>
            <w:pPr>
              <w:pStyle w:val="TableContents"/>
              <w:bidi w:val="0"/>
              <w:spacing w:lineRule="auto" w:line="285" w:before="0" w:after="0"/>
              <w:ind w:left="0" w:right="0" w:hanging="0"/>
              <w:jc w:val="center"/>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436" w:type="dxa"/>
            <w:tcBorders/>
            <w:vAlign w:val="center"/>
          </w:tcPr>
          <w:p>
            <w:pPr>
              <w:pStyle w:val="TableContents"/>
              <w:bidi w:val="0"/>
              <w:spacing w:lineRule="auto" w:line="285" w:before="0" w:after="0"/>
              <w:ind w:left="0" w:right="0" w:hanging="0"/>
              <w:jc w:val="center"/>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47.7</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(6.4)</w:t>
            </w:r>
          </w:p>
        </w:tc>
        <w:tc>
          <w:tcPr>
            <w:tcW w:w="109"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(13.4)</w:t>
            </w:r>
          </w:p>
        </w:tc>
        <w:tc>
          <w:tcPr>
            <w:tcW w:w="4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108.4</w:t>
            </w:r>
          </w:p>
        </w:tc>
        <w:tc>
          <w:tcPr>
            <w:tcW w:w="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109"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4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and initial public offering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(100.0)</w:t>
            </w:r>
          </w:p>
        </w:tc>
        <w:tc>
          <w:tcPr>
            <w:tcW w:w="4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Net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47.3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47.4</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(0.1)</w:t>
            </w:r>
          </w:p>
        </w:tc>
        <w:tc>
          <w:tcPr>
            <w:tcW w:w="109" w:type="dxa"/>
            <w:tcBorders/>
            <w:vAlign w:val="center"/>
          </w:tcPr>
          <w:p>
            <w:pPr>
              <w:pStyle w:val="TableContents"/>
              <w:bidi w:val="0"/>
              <w:spacing w:lineRule="auto" w:line="285" w:before="0" w:after="0"/>
              <w:ind w:left="0" w:right="0" w:hanging="0"/>
              <w:jc w:val="righ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(0.2)</w:t>
            </w:r>
          </w:p>
        </w:tc>
        <w:tc>
          <w:tcPr>
            <w:tcW w:w="43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  </w:t>
            </w:r>
          </w:p>
        </w:tc>
      </w:tr>
      <w:tr>
        <w:trPr/>
        <w:tc>
          <w:tcPr>
            <w:tcW w:w="55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diluted common shares outstanding (in millions)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57.4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r>
      <w:tr>
        <w:trPr/>
        <w:tc>
          <w:tcPr>
            <w:tcW w:w="558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Expected vesting of non-vested restricted stock</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Adjusted weighted average diluted common shares outstanding</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61.6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48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r>
      <w:tr>
        <w:trPr/>
        <w:tc>
          <w:tcPr>
            <w:tcW w:w="55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r>
      <w:tr>
        <w:trPr/>
        <w:tc>
          <w:tcPr>
            <w:tcW w:w="558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EPS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81" w:type="dxa"/>
            <w:tcBorders/>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0.77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481" w:type="dxa"/>
            <w:tcBorders/>
            <w:vAlign w:val="center"/>
          </w:tcPr>
          <w:p>
            <w:pPr>
              <w:pStyle w:val="TableContents"/>
              <w:bidi w:val="0"/>
              <w:spacing w:lineRule="auto" w:line="285" w:before="0" w:after="0"/>
              <w:ind w:left="0" w:right="0" w:hanging="0"/>
              <w:jc w:val="right"/>
              <w:rPr/>
            </w:pPr>
            <w:r>
              <w:rPr/>
              <w:t>  ​</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71"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436" w:type="dxa"/>
            <w:tcBorders/>
            <w:vAlign w:val="center"/>
          </w:tcPr>
          <w:p>
            <w:pPr>
              <w:pStyle w:val="TableContents"/>
              <w:bidi w:val="0"/>
              <w:spacing w:lineRule="auto" w:line="285" w:before="0" w:after="0"/>
              <w:ind w:left="0" w:right="0" w:hanging="0"/>
              <w:jc w:val="left"/>
              <w:rPr/>
            </w:pPr>
            <w:r>
              <w:rPr/>
              <w:t>​</w:t>
            </w:r>
          </w:p>
        </w:tc>
      </w:tr>
      <w:tr>
        <w:trPr/>
        <w:tc>
          <w:tcPr>
            <w:tcW w:w="558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481" w:type="dxa"/>
            <w:tcBorders/>
            <w:shd w:fill="CCEEFF" w:val="clear"/>
            <w:vAlign w:val="center"/>
          </w:tcPr>
          <w:p>
            <w:pPr>
              <w:pStyle w:val="TableContents"/>
              <w:bidi w:val="0"/>
              <w:spacing w:lineRule="auto" w:line="285" w:before="0" w:after="0"/>
              <w:ind w:left="0" w:right="0" w:hanging="0"/>
              <w:jc w:val="right"/>
              <w:rPr/>
            </w:pPr>
            <w:r>
              <w:rPr/>
              <w:t>  ​</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71"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left"/>
              <w:rPr/>
            </w:pPr>
            <w:r>
              <w:rPr/>
              <w:t>​</w:t>
            </w:r>
          </w:p>
        </w:tc>
        <w:tc>
          <w:tcPr>
            <w:tcW w:w="436"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Leverage Ratio</w:t>
      </w:r>
    </w:p>
    <w:p>
      <w:pPr>
        <w:pStyle w:val="TextBody"/>
        <w:bidi w:val="0"/>
        <w:spacing w:lineRule="auto" w:line="285" w:before="0" w:after="0"/>
        <w:ind w:left="0" w:right="0" w:hanging="0"/>
        <w:jc w:val="left"/>
        <w:rPr/>
      </w:pPr>
      <w:r>
        <w:rPr/>
        <w:t>​</w:t>
      </w:r>
    </w:p>
    <w:tbl>
      <w:tblPr>
        <w:tblW w:w="7649" w:type="dxa"/>
        <w:jc w:val="left"/>
        <w:tblInd w:w="0" w:type="dxa"/>
        <w:tblLayout w:type="fixed"/>
        <w:tblCellMar>
          <w:top w:w="0" w:type="dxa"/>
          <w:left w:w="0" w:type="dxa"/>
          <w:bottom w:w="0" w:type="dxa"/>
          <w:right w:w="0" w:type="dxa"/>
        </w:tblCellMar>
      </w:tblPr>
      <w:tblGrid>
        <w:gridCol w:w="4936"/>
        <w:gridCol w:w="346"/>
        <w:gridCol w:w="251"/>
        <w:gridCol w:w="859"/>
        <w:gridCol w:w="129"/>
        <w:gridCol w:w="251"/>
        <w:gridCol w:w="877"/>
      </w:tblGrid>
      <w:tr>
        <w:trPr/>
        <w:tc>
          <w:tcPr>
            <w:tcW w:w="4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134360" cy="175260"/>
                      <wp:effectExtent l="0" t="0" r="0" b="0"/>
                      <wp:wrapNone/>
                      <wp:docPr id="103" name="Frame94"/>
                      <a:graphic xmlns:a="http://schemas.openxmlformats.org/drawingml/2006/main">
                        <a:graphicData uri="http://schemas.microsoft.com/office/word/2010/wordprocessingShape">
                          <wps:wsp>
                            <wps:cNvSpPr txBox="1"/>
                            <wps:spPr>
                              <a:xfrm>
                                <a:off x="0" y="0"/>
                                <a:ext cx="31343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59385" cy="175260"/>
                      <wp:effectExtent l="0" t="0" r="0" b="0"/>
                      <wp:wrapNone/>
                      <wp:docPr id="105" name="Frame9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45465" cy="175260"/>
                      <wp:effectExtent l="0" t="0" r="0" b="0"/>
                      <wp:wrapNone/>
                      <wp:docPr id="106" name="Frame97"/>
                      <a:graphic xmlns:a="http://schemas.openxmlformats.org/drawingml/2006/main">
                        <a:graphicData uri="http://schemas.microsoft.com/office/word/2010/wordprocessingShape">
                          <wps:wsp>
                            <wps:cNvSpPr txBox="1"/>
                            <wps:spPr>
                              <a:xfrm>
                                <a:off x="0" y="0"/>
                                <a:ext cx="5454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81915" cy="175260"/>
                      <wp:effectExtent l="0" t="0" r="0" b="0"/>
                      <wp:wrapNone/>
                      <wp:docPr id="107" name="Frame98"/>
                      <a:graphic xmlns:a="http://schemas.openxmlformats.org/drawingml/2006/main">
                        <a:graphicData uri="http://schemas.microsoft.com/office/word/2010/wordprocessingShape">
                          <wps:wsp>
                            <wps:cNvSpPr txBox="1"/>
                            <wps:spPr>
                              <a:xfrm>
                                <a:off x="0" y="0"/>
                                <a:ext cx="819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59385" cy="175260"/>
                      <wp:effectExtent l="0" t="0" r="0" b="0"/>
                      <wp:wrapNone/>
                      <wp:docPr id="108" name="Frame99"/>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56895" cy="175260"/>
                      <wp:effectExtent l="0" t="0" r="0" b="0"/>
                      <wp:wrapNone/>
                      <wp:docPr id="109" name="Frame100"/>
                      <a:graphic xmlns:a="http://schemas.openxmlformats.org/drawingml/2006/main">
                        <a:graphicData uri="http://schemas.microsoft.com/office/word/2010/wordprocessingShape">
                          <wps:wsp>
                            <wps:cNvSpPr txBox="1"/>
                            <wps:spPr>
                              <a:xfrm>
                                <a:off x="0" y="0"/>
                                <a:ext cx="5568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367"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Trailing Twelve Months Ended</w:t>
            </w:r>
          </w:p>
        </w:tc>
      </w:tr>
      <w:tr>
        <w:trPr/>
        <w:tc>
          <w:tcPr>
            <w:tcW w:w="49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367"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($in Millions)</w:t>
            </w:r>
          </w:p>
        </w:tc>
        <w:tc>
          <w:tcPr>
            <w:tcW w:w="346" w:type="dxa"/>
            <w:tcBorders/>
            <w:vAlign w:val="center"/>
          </w:tcPr>
          <w:p>
            <w:pPr>
              <w:pStyle w:val="TableContents"/>
              <w:bidi w:val="0"/>
              <w:spacing w:lineRule="auto" w:line="285" w:before="0" w:after="0"/>
              <w:ind w:left="0" w:right="0" w:hanging="0"/>
              <w:jc w:val="center"/>
              <w:rPr/>
            </w:pPr>
            <w:r>
              <w:rPr/>
              <w:t>  ​ ​ ​</w:t>
            </w:r>
          </w:p>
        </w:tc>
        <w:tc>
          <w:tcPr>
            <w:tcW w:w="111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29" w:type="dxa"/>
            <w:tcBorders/>
            <w:vAlign w:val="center"/>
          </w:tcPr>
          <w:p>
            <w:pPr>
              <w:pStyle w:val="TableContents"/>
              <w:bidi w:val="0"/>
              <w:spacing w:lineRule="auto" w:line="285" w:before="0" w:after="0"/>
              <w:ind w:left="0" w:right="0" w:hanging="0"/>
              <w:jc w:val="center"/>
              <w:rPr/>
            </w:pPr>
            <w:r>
              <w:rPr/>
              <w:t>​</w:t>
            </w:r>
          </w:p>
        </w:tc>
        <w:tc>
          <w:tcPr>
            <w:tcW w:w="112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cash provided by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221.2</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295.1</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prepaid expenses</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accounts payable and accrued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(118.7)</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recoveries</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16.1</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w:t>
            </w:r>
          </w:p>
        </w:tc>
        <w:tc>
          <w:tcPr>
            <w:tcW w:w="877" w:type="dxa"/>
            <w:tcBorders/>
            <w:vAlign w:val="center"/>
          </w:tcPr>
          <w:p>
            <w:pPr>
              <w:pStyle w:val="TableContents"/>
              <w:bidi w:val="0"/>
              <w:spacing w:lineRule="auto" w:line="285" w:before="0" w:after="0"/>
              <w:ind w:left="0" w:right="0" w:hanging="0"/>
              <w:jc w:val="right"/>
              <w:rPr/>
            </w:pPr>
            <w:r>
              <w:rPr/>
              <w:t>—</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credit losses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Foreign exchange and other income (expense)</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(0.8)</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interest paid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104.9</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87.8</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portfolio 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5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(613.6)</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(492.6)</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Gross collections</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5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1,092.9</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vAlign w:val="center"/>
          </w:tcPr>
          <w:p>
            <w:pPr>
              <w:pStyle w:val="TableContents"/>
              <w:bidi w:val="0"/>
              <w:spacing w:lineRule="auto" w:line="285" w:before="0" w:after="0"/>
              <w:ind w:left="0" w:right="0" w:hanging="0"/>
              <w:jc w:val="left"/>
              <w:rPr/>
            </w:pPr>
            <w:r>
              <w:rPr/>
              <w:t> </w:t>
            </w:r>
          </w:p>
        </w:tc>
        <w:tc>
          <w:tcPr>
            <w:tcW w:w="87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836.0</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59" w:type="dxa"/>
            <w:tcBorders/>
            <w:shd w:fill="CCEEFF" w:val="clear"/>
            <w:vAlign w:val="center"/>
          </w:tcPr>
          <w:p>
            <w:pPr>
              <w:pStyle w:val="TableContents"/>
              <w:bidi w:val="0"/>
              <w:spacing w:lineRule="auto" w:line="285" w:before="0" w:after="0"/>
              <w:ind w:left="0" w:right="0" w:hanging="0"/>
              <w:jc w:val="right"/>
              <w:rPr/>
            </w:pPr>
            <w:r>
              <w:rPr/>
              <w:t>—</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shd w:fill="CCEEFF" w:val="clear"/>
            <w:vAlign w:val="center"/>
          </w:tcPr>
          <w:p>
            <w:pPr>
              <w:pStyle w:val="TableContents"/>
              <w:bidi w:val="0"/>
              <w:spacing w:lineRule="auto" w:line="285" w:before="0" w:after="0"/>
              <w:ind w:left="0" w:right="0" w:hanging="0"/>
              <w:jc w:val="left"/>
              <w:rPr/>
            </w:pPr>
            <w:r>
              <w:rPr/>
              <w:t> </w:t>
            </w:r>
          </w:p>
        </w:tc>
        <w:tc>
          <w:tcPr>
            <w:tcW w:w="87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w:t>
            </w:r>
          </w:p>
        </w:tc>
      </w:tr>
      <w:tr>
        <w:trPr/>
        <w:tc>
          <w:tcPr>
            <w:tcW w:w="493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Merger and acquisition and initial public offering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5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29" w:type="dxa"/>
            <w:tcBorders/>
            <w:vAlign w:val="center"/>
          </w:tcPr>
          <w:p>
            <w:pPr>
              <w:pStyle w:val="TableContents"/>
              <w:bidi w:val="0"/>
              <w:spacing w:lineRule="auto" w:line="285" w:before="0" w:after="0"/>
              <w:ind w:left="0" w:right="0" w:hanging="0"/>
              <w:jc w:val="left"/>
              <w:rPr/>
            </w:pPr>
            <w:r>
              <w:rPr/>
              <w:t>​</w:t>
            </w:r>
          </w:p>
        </w:tc>
        <w:tc>
          <w:tcPr>
            <w:tcW w:w="25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77"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22.3</w:t>
            </w:r>
          </w:p>
        </w:tc>
      </w:tr>
      <w:tr>
        <w:trPr/>
        <w:tc>
          <w:tcPr>
            <w:tcW w:w="493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Adjusted Cash EBITDA (A)</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59"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821.6</w:t>
            </w:r>
          </w:p>
        </w:tc>
        <w:tc>
          <w:tcPr>
            <w:tcW w:w="129" w:type="dxa"/>
            <w:tcBorders/>
            <w:shd w:fill="CCEEFF" w:val="clear"/>
            <w:vAlign w:val="center"/>
          </w:tcPr>
          <w:p>
            <w:pPr>
              <w:pStyle w:val="TableContents"/>
              <w:bidi w:val="0"/>
              <w:spacing w:lineRule="auto" w:line="285"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77" w:type="dxa"/>
            <w:tcBorders>
              <w:bottom w:val="double" w:sz="6" w:space="0" w:color="000000"/>
            </w:tcBorders>
            <w:shd w:fill="CCEEFF" w:val="clear"/>
            <w:tcMar>
              <w:bottom w:w="28" w:type="dxa"/>
            </w:tcMar>
            <w:vAlign w:val="center"/>
          </w:tcPr>
          <w:p>
            <w:pPr>
              <w:pStyle w:val="TableContents"/>
              <w:bidi w:val="0"/>
              <w:spacing w:lineRule="auto" w:line="285" w:before="0" w:after="0"/>
              <w:ind w:left="0" w:right="72" w:hanging="0"/>
              <w:jc w:val="right"/>
              <w:rPr>
                <w:rFonts w:ascii="Times New Roman;Times;serif" w:hAnsi="Times New Roman;Times;serif"/>
                <w:b/>
                <w:sz w:val="20"/>
              </w:rPr>
            </w:pPr>
            <w:r>
              <w:rPr>
                <w:rFonts w:ascii="Times New Roman;Times;serif" w:hAnsi="Times New Roman;Times;serif"/>
                <w:b/>
                <w:sz w:val="20"/>
              </w:rPr>
              <w:t>654.0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tbl>
      <w:tblPr>
        <w:tblW w:w="4796" w:type="dxa"/>
        <w:jc w:val="left"/>
        <w:tblInd w:w="0" w:type="dxa"/>
        <w:tblLayout w:type="fixed"/>
        <w:tblCellMar>
          <w:top w:w="0" w:type="dxa"/>
          <w:left w:w="0" w:type="dxa"/>
          <w:bottom w:w="0" w:type="dxa"/>
          <w:right w:w="0" w:type="dxa"/>
        </w:tblCellMar>
      </w:tblPr>
      <w:tblGrid>
        <w:gridCol w:w="2356"/>
        <w:gridCol w:w="109"/>
        <w:gridCol w:w="211"/>
        <w:gridCol w:w="721"/>
        <w:gridCol w:w="211"/>
        <w:gridCol w:w="211"/>
        <w:gridCol w:w="721"/>
        <w:gridCol w:w="256"/>
      </w:tblGrid>
      <w:tr>
        <w:trPr/>
        <w:tc>
          <w:tcPr>
            <w:tcW w:w="23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96060" cy="175260"/>
                      <wp:effectExtent l="0" t="0" r="0" b="0"/>
                      <wp:wrapNone/>
                      <wp:docPr id="110" name="Frame101"/>
                      <a:graphic xmlns:a="http://schemas.openxmlformats.org/drawingml/2006/main">
                        <a:graphicData uri="http://schemas.microsoft.com/office/word/2010/wordprocessingShape">
                          <wps:wsp>
                            <wps:cNvSpPr txBox="1"/>
                            <wps:spPr>
                              <a:xfrm>
                                <a:off x="0" y="0"/>
                                <a:ext cx="14960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9215" cy="175260"/>
                      <wp:effectExtent l="0" t="0" r="0" b="0"/>
                      <wp:wrapNone/>
                      <wp:docPr id="111" name="Frame10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33985" cy="175260"/>
                      <wp:effectExtent l="0" t="0" r="0" b="0"/>
                      <wp:wrapNone/>
                      <wp:docPr id="112" name="Frame1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457835" cy="175260"/>
                      <wp:effectExtent l="0" t="0" r="0" b="0"/>
                      <wp:wrapNone/>
                      <wp:docPr id="113" name="Frame10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14"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133985" cy="175260"/>
                      <wp:effectExtent l="0" t="0" r="0" b="0"/>
                      <wp:wrapNone/>
                      <wp:docPr id="115" name="Frame1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457835" cy="175260"/>
                      <wp:effectExtent l="0" t="0" r="0" b="0"/>
                      <wp:wrapNone/>
                      <wp:docPr id="116" name="Frame107"/>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62560" cy="175260"/>
                      <wp:effectExtent l="0" t="0" r="0" b="0"/>
                      <wp:wrapNone/>
                      <wp:docPr id="117" name="Frame108"/>
                      <a:graphic xmlns:a="http://schemas.openxmlformats.org/drawingml/2006/main">
                        <a:graphicData uri="http://schemas.microsoft.com/office/word/2010/wordprocessingShape">
                          <wps:wsp>
                            <wps:cNvSpPr txBox="1"/>
                            <wps:spPr>
                              <a:xfrm>
                                <a:off x="0" y="0"/>
                                <a:ext cx="162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07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256" w:type="dxa"/>
            <w:tcBorders/>
            <w:vAlign w:val="center"/>
          </w:tcPr>
          <w:p>
            <w:pPr>
              <w:pStyle w:val="TableContents"/>
              <w:bidi w:val="0"/>
              <w:spacing w:lineRule="auto" w:line="285" w:before="0" w:after="0"/>
              <w:ind w:left="0" w:right="0" w:hanging="0"/>
              <w:jc w:val="left"/>
              <w:rPr/>
            </w:pPr>
            <w:r>
              <w:rPr/>
              <w:t>​</w:t>
            </w:r>
          </w:p>
        </w:tc>
      </w:tr>
      <w:tr>
        <w:trPr/>
        <w:tc>
          <w:tcPr>
            <w:tcW w:w="235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2026</w:t>
            </w:r>
          </w:p>
        </w:tc>
        <w:tc>
          <w:tcPr>
            <w:tcW w:w="211" w:type="dxa"/>
            <w:tcBorders/>
            <w:vAlign w:val="center"/>
          </w:tcPr>
          <w:p>
            <w:pPr>
              <w:pStyle w:val="TableContents"/>
              <w:bidi w:val="0"/>
              <w:spacing w:lineRule="auto" w:line="285" w:before="0" w:after="0"/>
              <w:ind w:left="0" w:right="0" w:hanging="0"/>
              <w:jc w:val="center"/>
              <w:rPr/>
            </w:pPr>
            <w:r>
              <w:rPr/>
              <w:t>​</w:t>
            </w:r>
          </w:p>
        </w:tc>
        <w:tc>
          <w:tcPr>
            <w:tcW w:w="93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2025</w:t>
            </w:r>
          </w:p>
        </w:tc>
        <w:tc>
          <w:tcPr>
            <w:tcW w:w="256" w:type="dxa"/>
            <w:tcBorders/>
            <w:vAlign w:val="center"/>
          </w:tcPr>
          <w:p>
            <w:pPr>
              <w:pStyle w:val="TableContents"/>
              <w:bidi w:val="0"/>
              <w:spacing w:lineRule="auto" w:line="285" w:before="0" w:after="0"/>
              <w:ind w:left="0" w:right="0" w:hanging="0"/>
              <w:jc w:val="left"/>
              <w:rPr/>
            </w:pPr>
            <w:r>
              <w:rPr/>
              <w:t>​</w:t>
            </w:r>
          </w:p>
        </w:tc>
      </w:tr>
      <w:tr>
        <w:trPr/>
        <w:tc>
          <w:tcPr>
            <w:tcW w:w="23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Borrowings, as reported</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1,405.8</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1,181.5</w:t>
            </w:r>
          </w:p>
        </w:tc>
        <w:tc>
          <w:tcPr>
            <w:tcW w:w="256" w:type="dxa"/>
            <w:tcBorders/>
            <w:shd w:fill="CCEEFF" w:val="clear"/>
            <w:vAlign w:val="center"/>
          </w:tcPr>
          <w:p>
            <w:pPr>
              <w:pStyle w:val="TableContents"/>
              <w:bidi w:val="0"/>
              <w:spacing w:lineRule="auto" w:line="285" w:before="0" w:after="0"/>
              <w:ind w:left="0" w:right="0" w:hanging="0"/>
              <w:jc w:val="left"/>
              <w:rPr/>
            </w:pPr>
            <w:r>
              <w:rPr/>
              <w:t>​</w:t>
            </w:r>
          </w:p>
        </w:tc>
      </w:tr>
      <w:tr>
        <w:trPr/>
        <w:tc>
          <w:tcPr>
            <w:tcW w:w="235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Unamortized issuance costs</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211"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256" w:type="dxa"/>
            <w:tcBorders/>
            <w:vAlign w:val="center"/>
          </w:tcPr>
          <w:p>
            <w:pPr>
              <w:pStyle w:val="TableContents"/>
              <w:bidi w:val="0"/>
              <w:spacing w:lineRule="auto" w:line="285" w:before="0" w:after="0"/>
              <w:ind w:left="0" w:right="0" w:hanging="0"/>
              <w:jc w:val="left"/>
              <w:rPr/>
            </w:pPr>
            <w:r>
              <w:rPr/>
              <w:t>​</w:t>
            </w:r>
          </w:p>
        </w:tc>
      </w:tr>
      <w:tr>
        <w:trPr/>
        <w:tc>
          <w:tcPr>
            <w:tcW w:w="235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Unrestricted cash</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(51.7)</w:t>
            </w:r>
          </w:p>
        </w:tc>
        <w:tc>
          <w:tcPr>
            <w:tcW w:w="256" w:type="dxa"/>
            <w:tcBorders/>
            <w:shd w:fill="CCEEFF" w:val="clear"/>
            <w:vAlign w:val="center"/>
          </w:tcPr>
          <w:p>
            <w:pPr>
              <w:pStyle w:val="TableContents"/>
              <w:bidi w:val="0"/>
              <w:spacing w:lineRule="auto" w:line="285" w:before="0" w:after="0"/>
              <w:ind w:left="0" w:right="0" w:hanging="0"/>
              <w:jc w:val="left"/>
              <w:rPr/>
            </w:pPr>
            <w:r>
              <w:rPr/>
              <w:t>​</w:t>
            </w:r>
          </w:p>
        </w:tc>
      </w:tr>
      <w:tr>
        <w:trPr/>
        <w:tc>
          <w:tcPr>
            <w:tcW w:w="235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Net Debt (B)</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1,405.5</w:t>
            </w:r>
          </w:p>
        </w:tc>
        <w:tc>
          <w:tcPr>
            <w:tcW w:w="211"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72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b/>
                <w:sz w:val="20"/>
              </w:rPr>
            </w:pPr>
            <w:r>
              <w:rPr>
                <w:rFonts w:ascii="Times New Roman;Times;serif" w:hAnsi="Times New Roman;Times;serif"/>
                <w:b/>
                <w:sz w:val="20"/>
              </w:rPr>
              <w:t>1,148.3</w:t>
            </w:r>
          </w:p>
        </w:tc>
        <w:tc>
          <w:tcPr>
            <w:tcW w:w="256" w:type="dxa"/>
            <w:tcBorders/>
            <w:vAlign w:val="center"/>
          </w:tcPr>
          <w:p>
            <w:pPr>
              <w:pStyle w:val="TableContents"/>
              <w:bidi w:val="0"/>
              <w:spacing w:lineRule="auto" w:line="285" w:before="0" w:after="0"/>
              <w:ind w:left="0" w:right="0" w:hanging="0"/>
              <w:jc w:val="left"/>
              <w:rPr/>
            </w:pPr>
            <w:r>
              <w:rPr/>
              <w:t>​</w:t>
            </w:r>
          </w:p>
        </w:tc>
      </w:tr>
      <w:tr>
        <w:trPr/>
        <w:tc>
          <w:tcPr>
            <w:tcW w:w="235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21" w:type="dxa"/>
            <w:tcBorders/>
            <w:shd w:fill="CCEEFF" w:val="clear"/>
            <w:vAlign w:val="center"/>
          </w:tcPr>
          <w:p>
            <w:pPr>
              <w:pStyle w:val="TableContents"/>
              <w:bidi w:val="0"/>
              <w:spacing w:lineRule="auto" w:line="285" w:before="0" w:after="0"/>
              <w:ind w:left="0" w:right="0" w:hanging="0"/>
              <w:jc w:val="left"/>
              <w:rPr/>
            </w:pPr>
            <w:r>
              <w:rPr/>
              <w:t>​</w:t>
            </w:r>
          </w:p>
        </w:tc>
        <w:tc>
          <w:tcPr>
            <w:tcW w:w="256" w:type="dxa"/>
            <w:tcBorders/>
            <w:shd w:fill="CCEEFF" w:val="clear"/>
            <w:vAlign w:val="center"/>
          </w:tcPr>
          <w:p>
            <w:pPr>
              <w:pStyle w:val="TableContents"/>
              <w:bidi w:val="0"/>
              <w:spacing w:lineRule="auto" w:line="285" w:before="0" w:after="0"/>
              <w:ind w:left="0" w:right="0" w:hanging="0"/>
              <w:jc w:val="left"/>
              <w:rPr/>
            </w:pPr>
            <w:r>
              <w:rPr/>
              <w:t>​</w:t>
            </w:r>
          </w:p>
        </w:tc>
      </w:tr>
      <w:tr>
        <w:trPr/>
        <w:tc>
          <w:tcPr>
            <w:tcW w:w="235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Leverage Ratio (B / A)</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x</w:t>
            </w:r>
          </w:p>
        </w:tc>
        <w:tc>
          <w:tcPr>
            <w:tcW w:w="211" w:type="dxa"/>
            <w:tcBorders/>
            <w:vAlign w:val="center"/>
          </w:tcPr>
          <w:p>
            <w:pPr>
              <w:pStyle w:val="TableContents"/>
              <w:bidi w:val="0"/>
              <w:spacing w:lineRule="auto" w:line="285" w:before="0" w:after="0"/>
              <w:ind w:left="0" w:right="0" w:hanging="0"/>
              <w:jc w:val="left"/>
              <w:rPr/>
            </w:pPr>
            <w:r>
              <w:rPr/>
              <w:t> </w:t>
            </w:r>
          </w:p>
        </w:tc>
        <w:tc>
          <w:tcPr>
            <w:tcW w:w="7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1.76</w:t>
            </w:r>
          </w:p>
        </w:tc>
        <w:tc>
          <w:tcPr>
            <w:tcW w:w="256"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x</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0"/>
        <w:ind w:left="0" w:right="36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inherit">
    <w:charset w:val="01"/>
    <w:family w:val="auto"/>
    <w:pitch w:val="default"/>
  </w:font>
  <w:font w:name="Apto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3536</Words>
  <Characters>20010</Characters>
  <CharactersWithSpaces>24338</CharactersWithSpaces>
  <Paragraphs>2150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